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8926" w:type="dxa"/>
        <w:tblLook w:val="04A0" w:firstRow="1" w:lastRow="0" w:firstColumn="1" w:lastColumn="0" w:noHBand="0" w:noVBand="1"/>
      </w:tblPr>
      <w:tblGrid>
        <w:gridCol w:w="8926"/>
      </w:tblGrid>
      <w:tr w:rsidR="00A76B74" w:rsidTr="00A76B74">
        <w:tc>
          <w:tcPr>
            <w:tcW w:w="8926" w:type="dxa"/>
          </w:tcPr>
          <w:bookmarkStart w:id="0" w:name="_GoBack"/>
          <w:bookmarkEnd w:id="0"/>
          <w:p w:rsidR="00A76B74" w:rsidRPr="00195BC0" w:rsidRDefault="00A76B74" w:rsidP="00A76B74">
            <w:pPr>
              <w:ind w:left="-142" w:right="-219"/>
              <w:jc w:val="center"/>
              <w:rPr>
                <w:sz w:val="28"/>
                <w:szCs w:val="28"/>
              </w:rPr>
            </w:pPr>
            <w:r w:rsidRPr="00195BC0">
              <w:rPr>
                <w:sz w:val="28"/>
                <w:szCs w:val="28"/>
              </w:rPr>
              <w:fldChar w:fldCharType="begin"/>
            </w:r>
            <w:r w:rsidRPr="00195BC0">
              <w:rPr>
                <w:sz w:val="28"/>
                <w:szCs w:val="28"/>
              </w:rPr>
              <w:instrText xml:space="preserve"> HYPERLINK "http://www.periodicos.ufam.edu.br/BIUS/index" </w:instrText>
            </w:r>
            <w:r w:rsidRPr="00195BC0">
              <w:rPr>
                <w:sz w:val="28"/>
                <w:szCs w:val="28"/>
              </w:rPr>
              <w:fldChar w:fldCharType="separate"/>
            </w:r>
            <w:r w:rsidRPr="00195BC0">
              <w:rPr>
                <w:rStyle w:val="Hyperlink"/>
                <w:rFonts w:ascii="Segoe UI" w:hAnsi="Segoe UI" w:cs="Segoe UI"/>
                <w:b/>
                <w:bCs/>
                <w:color w:val="FFFFFF"/>
                <w:sz w:val="28"/>
                <w:szCs w:val="28"/>
                <w:shd w:val="clear" w:color="auto" w:fill="1E6292"/>
              </w:rPr>
              <w:t>BIUS -Boletim Informativo Unimotrisaúde em Sociogerontologia</w:t>
            </w:r>
            <w:r w:rsidRPr="00195BC0">
              <w:rPr>
                <w:sz w:val="28"/>
                <w:szCs w:val="28"/>
              </w:rPr>
              <w:fldChar w:fldCharType="end"/>
            </w:r>
          </w:p>
          <w:p w:rsidR="00A76B74" w:rsidRPr="00195BC0" w:rsidRDefault="00532072" w:rsidP="00A76B74">
            <w:pPr>
              <w:ind w:left="-142" w:right="-219"/>
              <w:jc w:val="center"/>
              <w:rPr>
                <w:rFonts w:ascii="Times New Roman" w:hAnsi="Times New Roman"/>
                <w:b/>
                <w:color w:val="0070C0"/>
                <w:sz w:val="28"/>
                <w:szCs w:val="28"/>
                <w:u w:val="single"/>
              </w:rPr>
            </w:pPr>
            <w:hyperlink r:id="rId7" w:history="1">
              <w:r w:rsidR="00A76B74" w:rsidRPr="00195BC0">
                <w:rPr>
                  <w:rStyle w:val="Hyperlink"/>
                  <w:rFonts w:ascii="Times New Roman" w:hAnsi="Times New Roman"/>
                  <w:b/>
                  <w:sz w:val="28"/>
                  <w:szCs w:val="28"/>
                </w:rPr>
                <w:t>http://www.periodicos.ufam.edu.br/BIUS/index</w:t>
              </w:r>
            </w:hyperlink>
          </w:p>
        </w:tc>
      </w:tr>
    </w:tbl>
    <w:p w:rsidR="00A307D8" w:rsidRPr="006C4E2F" w:rsidRDefault="00A307D8" w:rsidP="00A76B74">
      <w:pPr>
        <w:widowControl w:val="0"/>
        <w:autoSpaceDE w:val="0"/>
        <w:autoSpaceDN w:val="0"/>
        <w:adjustRightInd w:val="0"/>
        <w:spacing w:line="360" w:lineRule="auto"/>
        <w:rPr>
          <w:rFonts w:ascii="Garamond" w:hAnsi="Garamond" w:cs="Times New Roman"/>
          <w:b/>
          <w:sz w:val="24"/>
          <w:szCs w:val="24"/>
        </w:rPr>
      </w:pPr>
    </w:p>
    <w:p w:rsidR="00A307D8" w:rsidRPr="006C4E2F" w:rsidRDefault="00A307D8" w:rsidP="00A307D8">
      <w:pPr>
        <w:spacing w:line="360" w:lineRule="auto"/>
        <w:jc w:val="center"/>
        <w:rPr>
          <w:rFonts w:ascii="Garamond" w:hAnsi="Garamond" w:cs="Times New Roman"/>
          <w:b/>
          <w:sz w:val="24"/>
          <w:szCs w:val="24"/>
        </w:rPr>
      </w:pPr>
      <w:r w:rsidRPr="006C4E2F">
        <w:rPr>
          <w:rFonts w:ascii="Garamond" w:hAnsi="Garamond" w:cs="Times New Roman"/>
          <w:b/>
          <w:sz w:val="24"/>
          <w:szCs w:val="24"/>
        </w:rPr>
        <w:t>A INFLUÊNCIA DO ESTADO NUTRICIONAL NA APTIDÃO FÍSICA DE ESCOLARES DA CIDADE DE MANAUS</w:t>
      </w:r>
    </w:p>
    <w:p w:rsidR="00A307D8" w:rsidRPr="006C4E2F" w:rsidRDefault="00A307D8" w:rsidP="00A307D8">
      <w:pPr>
        <w:widowControl w:val="0"/>
        <w:autoSpaceDE w:val="0"/>
        <w:autoSpaceDN w:val="0"/>
        <w:adjustRightInd w:val="0"/>
        <w:spacing w:line="360" w:lineRule="auto"/>
        <w:jc w:val="center"/>
        <w:rPr>
          <w:rFonts w:ascii="Garamond" w:hAnsi="Garamond" w:cs="Times New Roman"/>
          <w:b/>
          <w:sz w:val="24"/>
          <w:szCs w:val="24"/>
        </w:rPr>
      </w:pPr>
    </w:p>
    <w:p w:rsidR="00A76B74" w:rsidRPr="009D5F40" w:rsidRDefault="00A76B74" w:rsidP="00A76B74">
      <w:pPr>
        <w:tabs>
          <w:tab w:val="center" w:pos="4535"/>
          <w:tab w:val="left" w:pos="6900"/>
        </w:tabs>
        <w:spacing w:before="240" w:after="240" w:line="480" w:lineRule="auto"/>
        <w:jc w:val="both"/>
        <w:rPr>
          <w:rFonts w:ascii="Times New Roman" w:hAnsi="Times New Roman"/>
        </w:rPr>
      </w:pPr>
      <w:r w:rsidRPr="009D5F40">
        <w:rPr>
          <w:rFonts w:ascii="Times New Roman" w:hAnsi="Times New Roman"/>
        </w:rPr>
        <w:t>FERREIRA, I. J.</w:t>
      </w:r>
      <w:r w:rsidRPr="009508C0">
        <w:rPr>
          <w:rFonts w:ascii="Times New Roman" w:eastAsia="Times New Roman" w:hAnsi="Times New Roman"/>
          <w:vertAlign w:val="superscript"/>
        </w:rPr>
        <w:t xml:space="preserve"> </w:t>
      </w:r>
      <w:r w:rsidRPr="00590D74">
        <w:rPr>
          <w:rFonts w:ascii="Times New Roman" w:eastAsia="Times New Roman" w:hAnsi="Times New Roman"/>
          <w:color w:val="0000FF"/>
          <w:vertAlign w:val="superscript"/>
        </w:rPr>
        <w:t>a,b,c,d</w:t>
      </w:r>
      <w:r>
        <w:rPr>
          <w:rFonts w:ascii="Times New Roman" w:eastAsia="Times New Roman" w:hAnsi="Times New Roman"/>
          <w:color w:val="0000FF"/>
          <w:vertAlign w:val="superscript"/>
        </w:rPr>
        <w:t>,</w:t>
      </w:r>
      <w:r w:rsidRPr="00F14B53">
        <w:rPr>
          <w:rFonts w:ascii="Times New Roman" w:eastAsia="Times New Roman" w:hAnsi="Times New Roman"/>
          <w:sz w:val="24"/>
          <w:szCs w:val="24"/>
        </w:rPr>
        <w:t xml:space="preserve"> </w:t>
      </w:r>
      <w:r w:rsidRPr="00F14B53">
        <w:rPr>
          <w:rFonts w:ascii="Times New Roman" w:eastAsia="Times New Roman" w:hAnsi="Times New Roman"/>
          <w:sz w:val="24"/>
          <w:szCs w:val="24"/>
        </w:rPr>
        <w:fldChar w:fldCharType="begin"/>
      </w:r>
      <w:r w:rsidR="00532072">
        <w:rPr>
          <w:rFonts w:ascii="Times New Roman" w:eastAsia="Times New Roman" w:hAnsi="Times New Roman"/>
          <w:sz w:val="24"/>
          <w:szCs w:val="24"/>
        </w:rPr>
        <w:instrText xml:space="preserve"> INCLUDEPICTURE "C:\\var\\folders\\rb\\3n__nvdx68x6gbjsb6nln9000000gn\\T\\com.microsoft.Word\\WebArchiveCopyPasteTempFiles\\9k=" \* MERGEFORMAT </w:instrText>
      </w:r>
      <w:r w:rsidRPr="00F14B53">
        <w:rPr>
          <w:rFonts w:ascii="Times New Roman" w:eastAsia="Times New Roman" w:hAnsi="Times New Roman"/>
          <w:sz w:val="24"/>
          <w:szCs w:val="24"/>
        </w:rPr>
        <w:fldChar w:fldCharType="separate"/>
      </w:r>
      <w:r w:rsidRPr="00F14B53">
        <w:rPr>
          <w:rFonts w:ascii="Times New Roman" w:eastAsia="Times New Roman" w:hAnsi="Times New Roman"/>
          <w:noProof/>
          <w:sz w:val="24"/>
          <w:szCs w:val="24"/>
        </w:rPr>
        <w:drawing>
          <wp:inline distT="0" distB="0" distL="0" distR="0" wp14:anchorId="1F45C3E2" wp14:editId="52786A13">
            <wp:extent cx="211015" cy="211015"/>
            <wp:effectExtent l="0" t="0" r="5080" b="5080"/>
            <wp:docPr id="6" name="Imagem 6" descr="Resultado de imagem para 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Resultado de imagem para orcid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Pr="00F14B53">
        <w:rPr>
          <w:rFonts w:ascii="Times New Roman" w:eastAsia="Times New Roman" w:hAnsi="Times New Roman"/>
          <w:sz w:val="24"/>
          <w:szCs w:val="24"/>
        </w:rPr>
        <w:fldChar w:fldCharType="end"/>
      </w:r>
      <w:r w:rsidRPr="004905E3">
        <w:rPr>
          <w:rFonts w:ascii="Times New Roman" w:eastAsia="Times New Roman" w:hAnsi="Times New Roman"/>
        </w:rPr>
        <w:t>,</w:t>
      </w:r>
      <w:r>
        <w:rPr>
          <w:rFonts w:ascii="Times New Roman" w:eastAsia="Times New Roman" w:hAnsi="Times New Roman"/>
          <w:vertAlign w:val="superscript"/>
        </w:rPr>
        <w:t xml:space="preserve"> </w:t>
      </w:r>
      <w:r w:rsidRPr="009D5F40">
        <w:rPr>
          <w:rFonts w:ascii="Times New Roman" w:hAnsi="Times New Roman"/>
        </w:rPr>
        <w:t>LEÃO, D. P</w:t>
      </w:r>
      <w:r w:rsidRPr="00590D74">
        <w:rPr>
          <w:rFonts w:ascii="Times New Roman" w:hAnsi="Times New Roman"/>
          <w:color w:val="0000FF"/>
        </w:rPr>
        <w:t>.</w:t>
      </w:r>
      <w:r w:rsidRPr="00590D74">
        <w:rPr>
          <w:rFonts w:ascii="Times New Roman" w:eastAsia="Times New Roman" w:hAnsi="Times New Roman"/>
          <w:color w:val="0000FF"/>
          <w:vertAlign w:val="superscript"/>
        </w:rPr>
        <w:t xml:space="preserve"> a,b,c,d</w:t>
      </w:r>
      <w:r>
        <w:rPr>
          <w:rFonts w:ascii="Times New Roman" w:eastAsia="Times New Roman" w:hAnsi="Times New Roman"/>
          <w:color w:val="0000FF"/>
          <w:vertAlign w:val="superscript"/>
        </w:rPr>
        <w:t>,</w:t>
      </w:r>
      <w:r w:rsidRPr="00F14B53">
        <w:rPr>
          <w:rFonts w:ascii="Times New Roman" w:eastAsia="Times New Roman" w:hAnsi="Times New Roman"/>
          <w:sz w:val="24"/>
          <w:szCs w:val="24"/>
        </w:rPr>
        <w:t xml:space="preserve"> </w:t>
      </w:r>
      <w:r w:rsidRPr="00F14B53">
        <w:rPr>
          <w:rFonts w:ascii="Times New Roman" w:eastAsia="Times New Roman" w:hAnsi="Times New Roman"/>
          <w:sz w:val="24"/>
          <w:szCs w:val="24"/>
        </w:rPr>
        <w:fldChar w:fldCharType="begin"/>
      </w:r>
      <w:r w:rsidR="00532072">
        <w:rPr>
          <w:rFonts w:ascii="Times New Roman" w:eastAsia="Times New Roman" w:hAnsi="Times New Roman"/>
          <w:sz w:val="24"/>
          <w:szCs w:val="24"/>
        </w:rPr>
        <w:instrText xml:space="preserve"> INCLUDEPICTURE "C:\\var\\folders\\rb\\3n__nvdx68x6gbjsb6nln9000000gn\\T\\com.microsoft.Word\\WebArchiveCopyPasteTempFiles\\9k=" \* MERGEFORMAT </w:instrText>
      </w:r>
      <w:r w:rsidRPr="00F14B53">
        <w:rPr>
          <w:rFonts w:ascii="Times New Roman" w:eastAsia="Times New Roman" w:hAnsi="Times New Roman"/>
          <w:sz w:val="24"/>
          <w:szCs w:val="24"/>
        </w:rPr>
        <w:fldChar w:fldCharType="separate"/>
      </w:r>
      <w:r w:rsidRPr="00F14B53">
        <w:rPr>
          <w:rFonts w:ascii="Times New Roman" w:eastAsia="Times New Roman" w:hAnsi="Times New Roman"/>
          <w:noProof/>
          <w:sz w:val="24"/>
          <w:szCs w:val="24"/>
        </w:rPr>
        <w:drawing>
          <wp:inline distT="0" distB="0" distL="0" distR="0" wp14:anchorId="708A44D9" wp14:editId="038032E5">
            <wp:extent cx="211015" cy="211015"/>
            <wp:effectExtent l="0" t="0" r="5080" b="5080"/>
            <wp:docPr id="7" name="Imagem 7" descr="Resultado de imagem para orcid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Resultado de imagem para orcid logo">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Pr="00F14B53">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00F16580" w:rsidRPr="00E7427F">
        <w:rPr>
          <w:rFonts w:ascii="Times New Roman" w:hAnsi="Times New Roman"/>
          <w:sz w:val="20"/>
          <w:szCs w:val="20"/>
        </w:rPr>
        <w:t>BARBOSA, K. J</w:t>
      </w:r>
      <w:r w:rsidR="00F16580" w:rsidRPr="00E7427F">
        <w:rPr>
          <w:rFonts w:ascii="Times New Roman" w:hAnsi="Times New Roman"/>
          <w:color w:val="0000FF"/>
          <w:sz w:val="20"/>
          <w:szCs w:val="20"/>
        </w:rPr>
        <w:t xml:space="preserve">. </w:t>
      </w:r>
      <w:r w:rsidR="00F16580" w:rsidRPr="00E7427F">
        <w:rPr>
          <w:rFonts w:ascii="Times New Roman" w:hAnsi="Times New Roman"/>
          <w:sz w:val="20"/>
          <w:szCs w:val="20"/>
        </w:rPr>
        <w:t>F.</w:t>
      </w:r>
      <w:r w:rsidR="00F16580" w:rsidRPr="00E7427F">
        <w:rPr>
          <w:rFonts w:ascii="Times New Roman" w:hAnsi="Times New Roman"/>
          <w:color w:val="0000FF"/>
          <w:sz w:val="20"/>
          <w:szCs w:val="20"/>
        </w:rPr>
        <w:t xml:space="preserve"> </w:t>
      </w:r>
      <w:r w:rsidR="00F16580" w:rsidRPr="00E7427F">
        <w:rPr>
          <w:rFonts w:ascii="Times New Roman" w:eastAsia="Times New Roman" w:hAnsi="Times New Roman"/>
          <w:color w:val="0000FF"/>
          <w:sz w:val="20"/>
          <w:szCs w:val="20"/>
          <w:vertAlign w:val="superscript"/>
        </w:rPr>
        <w:t xml:space="preserve"> a,b,c,d</w:t>
      </w:r>
      <w:r w:rsidR="00F16580">
        <w:rPr>
          <w:rFonts w:ascii="Times New Roman" w:eastAsia="Times New Roman" w:hAnsi="Times New Roman"/>
          <w:sz w:val="24"/>
          <w:szCs w:val="24"/>
        </w:rPr>
        <w:t xml:space="preserve"> </w:t>
      </w:r>
      <w:r>
        <w:rPr>
          <w:rFonts w:ascii="Times New Roman" w:eastAsia="Times New Roman" w:hAnsi="Times New Roman"/>
          <w:sz w:val="24"/>
          <w:szCs w:val="24"/>
        </w:rPr>
        <w:t>COSTA, A. M.</w:t>
      </w:r>
      <w:r w:rsidR="00F16580" w:rsidRPr="00F16580">
        <w:rPr>
          <w:rFonts w:ascii="Times New Roman" w:eastAsia="Times New Roman" w:hAnsi="Times New Roman"/>
          <w:color w:val="0000FF"/>
          <w:sz w:val="20"/>
          <w:szCs w:val="20"/>
          <w:vertAlign w:val="superscript"/>
        </w:rPr>
        <w:t xml:space="preserve"> </w:t>
      </w:r>
      <w:r w:rsidR="00F16580" w:rsidRPr="00E7427F">
        <w:rPr>
          <w:rFonts w:ascii="Times New Roman" w:eastAsia="Times New Roman" w:hAnsi="Times New Roman"/>
          <w:color w:val="0000FF"/>
          <w:sz w:val="20"/>
          <w:szCs w:val="20"/>
          <w:vertAlign w:val="superscript"/>
        </w:rPr>
        <w:t>a,b,c,d</w:t>
      </w:r>
    </w:p>
    <w:p w:rsidR="00A76B74" w:rsidRDefault="00A76B74" w:rsidP="00A76B7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color w:val="0000FF"/>
          <w:vertAlign w:val="superscript"/>
        </w:rPr>
        <w:t>a</w:t>
      </w:r>
      <w:r w:rsidRPr="00442EE0">
        <w:rPr>
          <w:rFonts w:ascii="Times New Roman" w:eastAsia="Times New Roman" w:hAnsi="Times New Roman"/>
          <w:sz w:val="14"/>
        </w:rPr>
        <w:t>Universidade Federal do Amazonas</w:t>
      </w:r>
      <w:r>
        <w:rPr>
          <w:rFonts w:ascii="Times New Roman" w:eastAsia="Times New Roman" w:hAnsi="Times New Roman"/>
          <w:sz w:val="14"/>
        </w:rPr>
        <w:t xml:space="preserve"> (UFAM)</w:t>
      </w:r>
      <w:r w:rsidRPr="00442EE0">
        <w:rPr>
          <w:rFonts w:ascii="Times New Roman" w:eastAsia="Times New Roman" w:hAnsi="Times New Roman"/>
          <w:sz w:val="14"/>
        </w:rPr>
        <w:t>,</w:t>
      </w:r>
    </w:p>
    <w:p w:rsidR="00A76B74" w:rsidRDefault="00A76B74" w:rsidP="00A76B7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b</w:t>
      </w:r>
      <w:r w:rsidRPr="00442EE0">
        <w:rPr>
          <w:rFonts w:ascii="Times New Roman" w:eastAsia="Times New Roman" w:hAnsi="Times New Roman"/>
          <w:sz w:val="14"/>
        </w:rPr>
        <w:t>Faculdade de Educação Física e Fisioterapia</w:t>
      </w:r>
      <w:r>
        <w:rPr>
          <w:rFonts w:ascii="Times New Roman" w:eastAsia="Times New Roman" w:hAnsi="Times New Roman"/>
          <w:sz w:val="14"/>
        </w:rPr>
        <w:t xml:space="preserve"> (FEFF)</w:t>
      </w:r>
    </w:p>
    <w:p w:rsidR="00A76B74" w:rsidRDefault="00A76B74" w:rsidP="00A76B7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c</w:t>
      </w:r>
      <w:r w:rsidRPr="00442EE0">
        <w:rPr>
          <w:rFonts w:ascii="Times New Roman" w:eastAsia="Times New Roman" w:hAnsi="Times New Roman"/>
          <w:sz w:val="14"/>
        </w:rPr>
        <w:t>Grupo de Pesquisa</w:t>
      </w:r>
      <w:r>
        <w:rPr>
          <w:rFonts w:ascii="Times New Roman" w:eastAsia="Times New Roman" w:hAnsi="Times New Roman"/>
          <w:sz w:val="14"/>
        </w:rPr>
        <w:t xml:space="preserve"> em</w:t>
      </w:r>
      <w:r w:rsidRPr="00442EE0">
        <w:rPr>
          <w:rFonts w:ascii="Times New Roman" w:eastAsia="Times New Roman" w:hAnsi="Times New Roman"/>
          <w:sz w:val="14"/>
        </w:rPr>
        <w:t xml:space="preserve"> Biodinâmica do Movimento Humano</w:t>
      </w:r>
    </w:p>
    <w:p w:rsidR="00A76B74" w:rsidRDefault="00A76B74" w:rsidP="00A76B7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d</w:t>
      </w:r>
      <w:r w:rsidRPr="00442EE0">
        <w:rPr>
          <w:rFonts w:ascii="Times New Roman" w:eastAsia="Times New Roman" w:hAnsi="Times New Roman"/>
          <w:sz w:val="14"/>
        </w:rPr>
        <w:t>Laboratório de Estudos e Pesquisas em Aptidão Física (LEPAFI)</w:t>
      </w:r>
    </w:p>
    <w:p w:rsidR="00A76B74" w:rsidRPr="00F14B53" w:rsidRDefault="00A76B74" w:rsidP="00A76B74">
      <w:pPr>
        <w:spacing w:after="0" w:line="240" w:lineRule="auto"/>
        <w:rPr>
          <w:rFonts w:ascii="Times New Roman" w:eastAsia="Times New Roman" w:hAnsi="Times New Roman"/>
          <w:sz w:val="24"/>
          <w:szCs w:val="24"/>
        </w:rPr>
      </w:pPr>
    </w:p>
    <w:p w:rsidR="00A307D8" w:rsidRPr="006C4E2F" w:rsidRDefault="00A307D8" w:rsidP="00A76B74">
      <w:pPr>
        <w:widowControl w:val="0"/>
        <w:autoSpaceDE w:val="0"/>
        <w:autoSpaceDN w:val="0"/>
        <w:adjustRightInd w:val="0"/>
        <w:spacing w:line="360" w:lineRule="auto"/>
        <w:rPr>
          <w:rFonts w:ascii="Garamond" w:hAnsi="Garamond" w:cs="Times New Roman"/>
          <w:b/>
          <w:sz w:val="24"/>
          <w:szCs w:val="24"/>
        </w:rPr>
      </w:pPr>
    </w:p>
    <w:p w:rsidR="00757793" w:rsidRPr="006C4E2F" w:rsidRDefault="00757793" w:rsidP="00757793">
      <w:pPr>
        <w:spacing w:line="480" w:lineRule="auto"/>
        <w:jc w:val="both"/>
        <w:rPr>
          <w:rFonts w:ascii="Garamond" w:hAnsi="Garamond" w:cs="Times New Roman"/>
          <w:b/>
          <w:sz w:val="24"/>
          <w:szCs w:val="24"/>
        </w:rPr>
      </w:pPr>
      <w:r w:rsidRPr="006C4E2F">
        <w:rPr>
          <w:rFonts w:ascii="Garamond" w:hAnsi="Garamond" w:cs="Times New Roman"/>
          <w:b/>
          <w:sz w:val="24"/>
          <w:szCs w:val="24"/>
        </w:rPr>
        <w:t>RESUMO</w:t>
      </w:r>
    </w:p>
    <w:p w:rsidR="00757793" w:rsidRPr="006C4E2F" w:rsidRDefault="00757793" w:rsidP="00A76B74">
      <w:pPr>
        <w:shd w:val="clear" w:color="auto" w:fill="FFFFFF"/>
        <w:spacing w:before="100" w:beforeAutospacing="1" w:after="100" w:afterAutospacing="1" w:line="240" w:lineRule="auto"/>
        <w:ind w:firstLine="708"/>
        <w:jc w:val="both"/>
        <w:rPr>
          <w:rFonts w:ascii="Garamond" w:hAnsi="Garamond" w:cs="Times New Roman"/>
          <w:sz w:val="24"/>
          <w:szCs w:val="24"/>
        </w:rPr>
      </w:pPr>
      <w:r w:rsidRPr="006C4E2F">
        <w:rPr>
          <w:rFonts w:ascii="Garamond" w:hAnsi="Garamond" w:cs="Times New Roman"/>
          <w:sz w:val="24"/>
          <w:szCs w:val="24"/>
        </w:rPr>
        <w:t>O objetivo</w:t>
      </w:r>
      <w:r w:rsidRPr="006C4E2F">
        <w:rPr>
          <w:rFonts w:ascii="Garamond" w:hAnsi="Garamond" w:cs="Arial"/>
          <w:sz w:val="24"/>
          <w:szCs w:val="24"/>
        </w:rPr>
        <w:t xml:space="preserve"> deste estudo foi analisar a influência do estado nutricional sobre o desempenho motor de escolares na faixa etária de 12 anos de ambos os sexos regularmente matriculados na rede pública de ensino da cidade de Manaus. A amostra foi constituída por 494 escolares, sendo</w:t>
      </w:r>
      <w:r w:rsidRPr="006C4E2F">
        <w:rPr>
          <w:rFonts w:ascii="Garamond" w:eastAsia="Times New Roman" w:hAnsi="Garamond" w:cs="Times New Roman"/>
          <w:color w:val="222222"/>
          <w:sz w:val="24"/>
          <w:szCs w:val="24"/>
          <w:lang w:eastAsia="pt-BR"/>
        </w:rPr>
        <w:t xml:space="preserve"> 321 do sexo masculino e 173 do sexo feminino. </w:t>
      </w:r>
      <w:r w:rsidRPr="006C4E2F">
        <w:rPr>
          <w:rFonts w:ascii="Garamond" w:hAnsi="Garamond" w:cs="Times New Roman"/>
          <w:sz w:val="24"/>
          <w:szCs w:val="24"/>
        </w:rPr>
        <w:t xml:space="preserve">Para análise do estado nutricional foram utilizadas as variáveis de peso e estatura para classificar o Índice de Massa Corporal (IMC), tendo como referência os dados da Organização Mundial de Saúde (OMS) através da calculadora </w:t>
      </w:r>
      <w:r w:rsidRPr="006C4E2F">
        <w:rPr>
          <w:rFonts w:ascii="Garamond" w:hAnsi="Garamond"/>
          <w:sz w:val="24"/>
          <w:szCs w:val="24"/>
        </w:rPr>
        <w:t>Anthroplus versão 1.0.4. P</w:t>
      </w:r>
      <w:r w:rsidRPr="006C4E2F">
        <w:rPr>
          <w:rFonts w:ascii="Garamond" w:hAnsi="Garamond" w:cs="Times New Roman"/>
          <w:sz w:val="24"/>
          <w:szCs w:val="24"/>
        </w:rPr>
        <w:t xml:space="preserve">ara classificar a aptidão física foi utilizado os testes de desempenho motor sendo eles:  sentar e alcançar, abdominal modificado e salto horizontal. Os resultados obtidos para estado nutricional foram de 80% de eutrofia para o sexo masculino e 82% para o sexo feminino havendo uma prevalência de sobrepeso e obesidade para ambos os sexos. Já na aptidão física, os escolares do sexo feminino se sobressaíram no teste de sentar e alcançar e os escolares do sexo masculino nos testes de abdominal modificado e salto horizontal. E em relação a influência que o estado nutricional tem sobre a aptidão física, mostrou-se que houve diferença estatisticamente significativa (p&lt;0,05) apenas nos escolares com obesidade de ambos os sexos. Com isso, concluímos que </w:t>
      </w:r>
      <w:r w:rsidRPr="006C4E2F">
        <w:rPr>
          <w:rFonts w:ascii="Garamond" w:eastAsia="Times New Roman" w:hAnsi="Garamond" w:cs="Times New Roman"/>
          <w:color w:val="222222"/>
          <w:sz w:val="24"/>
          <w:szCs w:val="24"/>
          <w:lang w:eastAsia="pt-BR"/>
        </w:rPr>
        <w:t>os escolares que foram classificados com obesidade comprometem o desempenho motor dos mesmos.</w:t>
      </w:r>
    </w:p>
    <w:p w:rsidR="00A76B74" w:rsidRPr="00A76B74" w:rsidRDefault="00757793" w:rsidP="00A76B74">
      <w:pPr>
        <w:spacing w:line="480" w:lineRule="auto"/>
        <w:jc w:val="both"/>
        <w:rPr>
          <w:rFonts w:ascii="Garamond" w:hAnsi="Garamond" w:cs="Times New Roman"/>
          <w:sz w:val="24"/>
          <w:szCs w:val="24"/>
        </w:rPr>
      </w:pPr>
      <w:r w:rsidRPr="006C4E2F">
        <w:rPr>
          <w:rFonts w:ascii="Garamond" w:hAnsi="Garamond" w:cs="Times New Roman"/>
          <w:b/>
          <w:sz w:val="24"/>
          <w:szCs w:val="24"/>
        </w:rPr>
        <w:t>PALAVRAS CHAVE:</w:t>
      </w:r>
      <w:r w:rsidRPr="006C4E2F">
        <w:rPr>
          <w:rFonts w:ascii="Garamond" w:hAnsi="Garamond" w:cs="Times New Roman"/>
          <w:sz w:val="24"/>
          <w:szCs w:val="24"/>
        </w:rPr>
        <w:t xml:space="preserve"> Desempenho Motor; Sobrepeso; Obesidade; Crianças e Adolescentes </w:t>
      </w:r>
    </w:p>
    <w:p w:rsidR="00A76B74" w:rsidRPr="00BB3029" w:rsidRDefault="00A76B74" w:rsidP="00A76B74">
      <w:pPr>
        <w:pStyle w:val="Pr-formataoHTML"/>
        <w:shd w:val="clear" w:color="auto" w:fill="FFFFFF"/>
        <w:tabs>
          <w:tab w:val="clear" w:pos="9160"/>
          <w:tab w:val="left" w:pos="9214"/>
        </w:tabs>
        <w:ind w:right="-143"/>
        <w:jc w:val="both"/>
        <w:rPr>
          <w:rFonts w:ascii="Times New Roman" w:hAnsi="Times New Roman" w:cs="Times New Roman"/>
          <w:b/>
          <w:i/>
        </w:rPr>
      </w:pPr>
      <w:r w:rsidRPr="00BB3029">
        <w:rPr>
          <w:rFonts w:ascii="Times New Roman" w:hAnsi="Times New Roman" w:cs="Times New Roman"/>
          <w:b/>
          <w:i/>
        </w:rPr>
        <w:t xml:space="preserve">Correspondência autor: </w:t>
      </w:r>
      <w:r w:rsidRPr="00195BC0">
        <w:rPr>
          <w:rFonts w:ascii="Times New Roman" w:hAnsi="Times New Roman" w:cs="Times New Roman"/>
          <w:b/>
          <w:i/>
          <w:color w:val="000000"/>
          <w:sz w:val="14"/>
        </w:rPr>
        <w:t>Av. Gen. Rodrigo Octávio 6200, Coroado I, FEFF/LEPAFI, Setor SUL, Campus Universitário, 69080-900 - Manaus - AM</w:t>
      </w:r>
    </w:p>
    <w:p w:rsidR="00A76B74" w:rsidRPr="00BB3029" w:rsidRDefault="00A76B74" w:rsidP="00A76B74">
      <w:pPr>
        <w:pStyle w:val="Pr-formataoHTML"/>
        <w:shd w:val="clear" w:color="auto" w:fill="FFFFFF"/>
        <w:jc w:val="both"/>
        <w:rPr>
          <w:rFonts w:ascii="Times New Roman" w:hAnsi="Times New Roman" w:cs="Times New Roman"/>
          <w:b/>
          <w:i/>
        </w:rPr>
      </w:pPr>
      <w:r w:rsidRPr="00BB3029">
        <w:rPr>
          <w:rFonts w:ascii="Times New Roman" w:hAnsi="Times New Roman" w:cs="Times New Roman"/>
          <w:b/>
          <w:i/>
        </w:rPr>
        <w:t xml:space="preserve">Endereço e-mail: </w:t>
      </w:r>
      <w:hyperlink r:id="rId11" w:history="1">
        <w:r w:rsidRPr="00BB3029">
          <w:rPr>
            <w:rStyle w:val="Hyperlink"/>
            <w:rFonts w:ascii="Times New Roman" w:hAnsi="Times New Roman" w:cs="Times New Roman"/>
            <w:b/>
            <w:i/>
            <w:sz w:val="14"/>
          </w:rPr>
          <w:t>neice.carneiro@gmail.com</w:t>
        </w:r>
      </w:hyperlink>
      <w:r w:rsidRPr="00BB3029">
        <w:rPr>
          <w:rFonts w:ascii="Times New Roman" w:hAnsi="Times New Roman" w:cs="Times New Roman"/>
          <w:b/>
          <w:i/>
          <w:sz w:val="14"/>
        </w:rPr>
        <w:t xml:space="preserve">; </w:t>
      </w:r>
      <w:hyperlink r:id="rId12" w:history="1">
        <w:r w:rsidRPr="00BB3029">
          <w:rPr>
            <w:rStyle w:val="Hyperlink"/>
            <w:rFonts w:ascii="Times New Roman" w:hAnsi="Times New Roman" w:cs="Times New Roman"/>
            <w:b/>
            <w:i/>
            <w:sz w:val="14"/>
          </w:rPr>
          <w:t>ijf@usp.br</w:t>
        </w:r>
      </w:hyperlink>
      <w:r w:rsidRPr="00BB3029">
        <w:rPr>
          <w:rFonts w:ascii="Times New Roman" w:hAnsi="Times New Roman" w:cs="Times New Roman"/>
          <w:b/>
          <w:i/>
          <w:sz w:val="14"/>
        </w:rPr>
        <w:t xml:space="preserve">; </w:t>
      </w:r>
      <w:hyperlink r:id="rId13" w:history="1">
        <w:r w:rsidRPr="00BB3029">
          <w:rPr>
            <w:rStyle w:val="Hyperlink"/>
            <w:rFonts w:ascii="Times New Roman" w:hAnsi="Times New Roman" w:cs="Times New Roman"/>
            <w:b/>
            <w:i/>
            <w:sz w:val="14"/>
          </w:rPr>
          <w:t>daurimar@bol.com.br</w:t>
        </w:r>
      </w:hyperlink>
    </w:p>
    <w:p w:rsidR="00A76B74" w:rsidRPr="00A76B74" w:rsidRDefault="00A76B74" w:rsidP="00A76B74">
      <w:pPr>
        <w:spacing w:line="480" w:lineRule="auto"/>
        <w:jc w:val="both"/>
        <w:rPr>
          <w:rFonts w:ascii="Garamond" w:hAnsi="Garamond" w:cs="Times New Roman"/>
          <w:sz w:val="24"/>
          <w:szCs w:val="24"/>
        </w:rPr>
      </w:pPr>
      <w:r w:rsidRPr="00A76B74">
        <w:rPr>
          <w:rFonts w:ascii="Times New Roman" w:hAnsi="Times New Roman" w:cs="Times New Roman"/>
          <w:sz w:val="24"/>
          <w:szCs w:val="24"/>
        </w:rPr>
        <w:br w:type="page"/>
      </w:r>
    </w:p>
    <w:p w:rsidR="00F53E49" w:rsidRPr="006C4E2F" w:rsidRDefault="00F53E49" w:rsidP="00A76B74">
      <w:pPr>
        <w:spacing w:line="480" w:lineRule="auto"/>
        <w:jc w:val="center"/>
        <w:rPr>
          <w:rFonts w:ascii="Garamond" w:hAnsi="Garamond" w:cs="Times New Roman"/>
          <w:b/>
          <w:sz w:val="24"/>
          <w:szCs w:val="24"/>
          <w:lang w:val="en-US"/>
        </w:rPr>
      </w:pPr>
      <w:bookmarkStart w:id="1" w:name="_Hlk504055597"/>
      <w:r w:rsidRPr="006C4E2F">
        <w:rPr>
          <w:rFonts w:ascii="Garamond" w:hAnsi="Garamond" w:cs="Times New Roman"/>
          <w:b/>
          <w:sz w:val="24"/>
          <w:szCs w:val="24"/>
          <w:lang w:val="en-US"/>
        </w:rPr>
        <w:lastRenderedPageBreak/>
        <w:t>INFLUENCE OF NUTRITIONAL STATUS ON THE PHYSICAL FITNESS OF SCHOOLCHILDREN IN THE CITY OF MANAUS.</w:t>
      </w:r>
    </w:p>
    <w:p w:rsidR="00F53E49" w:rsidRPr="006C4E2F" w:rsidRDefault="00F53E49" w:rsidP="00757793">
      <w:pPr>
        <w:spacing w:line="480" w:lineRule="auto"/>
        <w:jc w:val="both"/>
        <w:rPr>
          <w:rFonts w:ascii="Garamond" w:hAnsi="Garamond" w:cs="Times New Roman"/>
          <w:b/>
          <w:sz w:val="24"/>
          <w:szCs w:val="24"/>
          <w:lang w:val="en-US"/>
        </w:rPr>
      </w:pPr>
      <w:r w:rsidRPr="006C4E2F">
        <w:rPr>
          <w:rFonts w:ascii="Garamond" w:hAnsi="Garamond" w:cs="Times New Roman"/>
          <w:b/>
          <w:sz w:val="24"/>
          <w:szCs w:val="24"/>
          <w:lang w:val="en-US"/>
        </w:rPr>
        <w:t xml:space="preserve">ABSTRACT </w:t>
      </w:r>
    </w:p>
    <w:p w:rsidR="00F53E49" w:rsidRPr="006C4E2F" w:rsidRDefault="00F53E49" w:rsidP="00757793">
      <w:pPr>
        <w:spacing w:line="480" w:lineRule="auto"/>
        <w:jc w:val="both"/>
        <w:rPr>
          <w:rFonts w:ascii="Garamond" w:hAnsi="Garamond" w:cs="Times New Roman"/>
          <w:b/>
          <w:sz w:val="24"/>
          <w:szCs w:val="24"/>
          <w:lang w:val="en-US"/>
        </w:rPr>
      </w:pPr>
    </w:p>
    <w:p w:rsidR="00F53E49" w:rsidRPr="006C4E2F" w:rsidRDefault="00F53E49" w:rsidP="00757793">
      <w:pPr>
        <w:spacing w:line="480" w:lineRule="auto"/>
        <w:jc w:val="both"/>
        <w:rPr>
          <w:rFonts w:ascii="Garamond" w:hAnsi="Garamond" w:cs="Times New Roman"/>
          <w:sz w:val="24"/>
          <w:szCs w:val="24"/>
          <w:lang w:val="en-US"/>
        </w:rPr>
      </w:pPr>
      <w:r w:rsidRPr="006C4E2F">
        <w:rPr>
          <w:rFonts w:ascii="Garamond" w:hAnsi="Garamond" w:cs="Times New Roman"/>
          <w:sz w:val="24"/>
          <w:szCs w:val="24"/>
          <w:lang w:val="en-US"/>
        </w:rPr>
        <w:t xml:space="preserve">The objective of this study was to analyze the influence of nutritional status on the motor performance of schoolchildren in the 12-year age group of both sexes regularly enrolled in the public school of the city of Manaus. The sample consisted of 494 schoolchildren, 321 males and 173 females. For the analysis of nutritional status, weight and height variables were used to classify the Body Mass Index (BMI), using the World Health Organization (WHO) data using the Anthroplus version 1.0.4 calculator. To classify the physical fitness was used the motor performance tests being: sit and reach, modified abdominal and horizontal jump. </w:t>
      </w:r>
      <w:r w:rsidR="00E0663F" w:rsidRPr="006C4E2F">
        <w:rPr>
          <w:rFonts w:ascii="Garamond" w:hAnsi="Garamond" w:cs="Times New Roman"/>
          <w:sz w:val="24"/>
          <w:szCs w:val="24"/>
          <w:lang w:val="en-US"/>
        </w:rPr>
        <w:t xml:space="preserve">The results obtained for nutritional status were 80% eutrophic for males and 82% for females, with a prevalence of overweight and obesity for both sexes. Already in physical fitness, the female schoolchildren excelled in the sit and reach test and the male schoolchildren in the modified abdominal and horizontal jump tests. And in relation to the influence that nutritional status has on physical fitness, it was shown that there was a statistically significant difference (p &lt;0.05) only in students with obesity of both sexes. With this, we conclude that the students who were classified with obesity compromise their motor performance. </w:t>
      </w:r>
    </w:p>
    <w:p w:rsidR="006C4E2F" w:rsidRDefault="00E0663F" w:rsidP="00F53E49">
      <w:pPr>
        <w:spacing w:line="480" w:lineRule="auto"/>
        <w:jc w:val="both"/>
        <w:rPr>
          <w:rFonts w:ascii="Garamond" w:hAnsi="Garamond" w:cs="Times New Roman"/>
          <w:sz w:val="24"/>
          <w:szCs w:val="24"/>
          <w:lang w:val="en-US"/>
        </w:rPr>
      </w:pPr>
      <w:r w:rsidRPr="006C4E2F">
        <w:rPr>
          <w:rFonts w:ascii="Garamond" w:hAnsi="Garamond" w:cs="Times New Roman"/>
          <w:b/>
          <w:sz w:val="24"/>
          <w:szCs w:val="24"/>
          <w:lang w:val="en-US"/>
        </w:rPr>
        <w:t xml:space="preserve">KEY WORDS: </w:t>
      </w:r>
      <w:r w:rsidRPr="006C4E2F">
        <w:rPr>
          <w:rFonts w:ascii="Garamond" w:hAnsi="Garamond" w:cs="Times New Roman"/>
          <w:sz w:val="24"/>
          <w:szCs w:val="24"/>
          <w:lang w:val="en-US"/>
        </w:rPr>
        <w:t>Motor Performance; Overweight; Obesity; Children and Adolescents.</w:t>
      </w:r>
      <w:bookmarkEnd w:id="1"/>
    </w:p>
    <w:p w:rsidR="006C4E2F" w:rsidRDefault="006C4E2F" w:rsidP="00F53E49">
      <w:pPr>
        <w:spacing w:line="480" w:lineRule="auto"/>
        <w:jc w:val="both"/>
        <w:rPr>
          <w:rFonts w:ascii="Garamond" w:hAnsi="Garamond" w:cs="Times New Roman"/>
          <w:sz w:val="24"/>
          <w:szCs w:val="24"/>
          <w:lang w:val="en-US"/>
        </w:rPr>
      </w:pPr>
    </w:p>
    <w:p w:rsidR="006C4E2F" w:rsidRPr="006C4E2F" w:rsidRDefault="006C4E2F" w:rsidP="00F53E49">
      <w:pPr>
        <w:spacing w:line="480" w:lineRule="auto"/>
        <w:jc w:val="both"/>
        <w:rPr>
          <w:rFonts w:ascii="Garamond" w:hAnsi="Garamond" w:cs="Times New Roman"/>
          <w:sz w:val="24"/>
          <w:szCs w:val="24"/>
          <w:lang w:val="en-US"/>
        </w:rPr>
      </w:pPr>
    </w:p>
    <w:p w:rsidR="00F47A9E" w:rsidRPr="006C4E2F" w:rsidRDefault="00F47A9E" w:rsidP="00F53E49">
      <w:pPr>
        <w:spacing w:line="480" w:lineRule="auto"/>
        <w:jc w:val="both"/>
        <w:rPr>
          <w:rFonts w:ascii="Garamond" w:hAnsi="Garamond" w:cs="Times New Roman"/>
          <w:sz w:val="24"/>
          <w:szCs w:val="24"/>
          <w:lang w:val="en-US"/>
        </w:rPr>
      </w:pPr>
    </w:p>
    <w:p w:rsidR="00757793" w:rsidRPr="006C4E2F" w:rsidRDefault="00757793" w:rsidP="00757793">
      <w:pPr>
        <w:shd w:val="clear" w:color="auto" w:fill="FFFFFF"/>
        <w:spacing w:before="100" w:beforeAutospacing="1" w:after="100" w:afterAutospacing="1" w:line="360" w:lineRule="auto"/>
        <w:jc w:val="both"/>
        <w:rPr>
          <w:rFonts w:ascii="Garamond" w:hAnsi="Garamond" w:cs="Times New Roman"/>
          <w:sz w:val="24"/>
          <w:szCs w:val="24"/>
        </w:rPr>
      </w:pPr>
      <w:r w:rsidRPr="006C4E2F">
        <w:rPr>
          <w:rFonts w:ascii="Garamond" w:hAnsi="Garamond" w:cs="Times New Roman"/>
          <w:b/>
          <w:sz w:val="24"/>
          <w:szCs w:val="24"/>
        </w:rPr>
        <w:lastRenderedPageBreak/>
        <w:t>INTRODUÇÃO</w:t>
      </w:r>
      <w:r w:rsidRPr="006C4E2F">
        <w:rPr>
          <w:rFonts w:ascii="Garamond" w:hAnsi="Garamond" w:cs="Times New Roman"/>
          <w:sz w:val="24"/>
          <w:szCs w:val="24"/>
        </w:rPr>
        <w:t xml:space="preserve"> </w:t>
      </w:r>
    </w:p>
    <w:p w:rsidR="00757793" w:rsidRPr="006C4E2F" w:rsidRDefault="00757793" w:rsidP="00757793">
      <w:pPr>
        <w:spacing w:line="480" w:lineRule="auto"/>
        <w:ind w:firstLine="708"/>
        <w:jc w:val="both"/>
        <w:rPr>
          <w:rFonts w:ascii="Garamond" w:hAnsi="Garamond" w:cs="Arial"/>
          <w:sz w:val="24"/>
          <w:szCs w:val="24"/>
        </w:rPr>
      </w:pPr>
      <w:bookmarkStart w:id="2" w:name="_Hlk499752274"/>
      <w:r w:rsidRPr="006C4E2F">
        <w:rPr>
          <w:rFonts w:ascii="Garamond" w:hAnsi="Garamond" w:cs="Arial"/>
          <w:sz w:val="24"/>
          <w:szCs w:val="24"/>
        </w:rPr>
        <w:t>O estado nutricional é caracterizado pelo balanço entre a necessidade e a oferta de nutrientes e está intimamente ligado à saúde de crianças e adolescentes, influenciando seu processo de crescimento e desenvolvimento. Desta forma, a saúde da criança tem sido afetada pelas práticas da vida urbana, na qual ocorrem mudanças de comportamento principalmente com relação à dieta e à atividade física, o que proporciona aumento nas taxas de sobrepeso e obesidade se tornando um fator preocupante para a sociedade</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"10.1590/S0103-05822010000300008", "ISBN" : "0103-0582 UL - http://www.scielo.br/scielo.php?script=sci_arttext&amp;pid=S0103-05822010000300008&amp;nrm=iso", "ISSN" : "01030582", "abstract" : "Associar o estado nutricional com os h\u00e1bitos alimentares e conhecimentos em nutri\u00e7\u00e3o de escolares da cidade Indaial, Santa Catarina", "author" : [ { "dropping-particle" : "", "family" : "Bertin", "given" : "Renata Labronici", "non-dropping-particle" : "", "parse-names" : false, "suffix" : "" }, { "dropping-particle" : "", "family" : "Malkowski", "given" : "Juliana", "non-dropping-particle" : "", "parse-names" : false, "suffix" : "" }, { "dropping-particle" : "", "family" : "Zutter", "given" : "Larissa Cristina I.", "non-dropping-particle" : "", "parse-names" : false, "suffix" : "" }, { "dropping-particle" : "", "family" : "Ulbrich", "given" : "Anderson Zampier", "non-dropping-particle" : "", "parse-names" : false, "suffix" : "" } ], "container-title" : "Revista Paulista de Pediatria.", "id" : "ITEM-1", "issue" : "3", "issued" : { "date-parts" : [ [ "2010" ] ] }, "page" : "303-308", "title" : "Estado nutricional, h\u00e1bitos alimentares e conhecimentos de nutri\u00e7\u00e3o em escolares", "type" : "article-journal", "volume" : "28" }, "uris" : [ "http://www.mendeley.com/documents/?uuid=66008343-da2a-4881-b3d2-0643d232ca66" ] } ], "mendeley" : { "formattedCitation" : "(1)", "plainTextFormattedCitation" : "(1)", "previouslyFormattedCitation" : "(1)"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Considerando o exposto, um inadequado estado nutricional pode influenciar a qualidade do desempenho em atividades que requeiram movimentação corporal, em tarefas presentes no cotidiano como correr, saltar, arremessar e outras atividades</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"10.4025/reveducfis.v23i2.13002", "ISBN" : "1983-3083", "ISSN" : "01033948", "abstract" : "O estudo objetiva investigar a associa\u00e7\u00e3o entre o estado nutricional e o desempenho motor de crian\u00e7as. Participaram 287 crian\u00e7as, divididas entre 151 meninos e 136 meninas com idades entre 5 e 10 anos ( x =8,1+1,7dp) e estado nutricional recomendado para a idade (NCHS, 2002; ALVES, 2008). Avaliou-se o desempenho motor por meio do Test of Gross Motor Development \u2013 Second Edition - TGMD-2 (ULRICH, 2000). Como resultado obteve-se que, independentemente do estado nutricional, um maior n\u00famero de meninas apresentou desempenho motor muito pobre quando comparadas aos meninos. Crian\u00e7as grande obesas e obesas e com desnutri\u00e7\u00e3o pregressa apresentam maior incid\u00eancia de desenvolvimento motor muito pobre. Concluiu-se que o estado nutricional foi um fator associado ao desempenho das habilidades motoras das crian\u00e7as investigadas.", "author" : [ { "dropping-particle" : "", "family" : "Marramarco", "given" : "C\u00e9sare Augusto", "non-dropping-particle" : "", "parse-names" : false, "suffix" : "" }, { "dropping-particle" : "", "family" : "Krebs", "given" : "Ruy Jornada", "non-dropping-particle" : "", "parse-names" : false, "suffix" : "" }, { "dropping-particle" : "", "family" : "Valentini", "given" : "Nadia Cristina", "non-dropping-particle" : "", "parse-names" : false, "suffix" : "" }, { "dropping-particle" : "", "family" : "Ramalho", "given" : "Maria Helena da Silva", "non-dropping-particle" : "", "parse-names" : false, "suffix" : "" }, { "dropping-particle" : "dos", "family" : "Santos", "given" : "Jo\u00e3o Otac\u00edlio Libardoni", "non-dropping-particle" : "", "parse-names" : false, "suffix" : "" }, { "dropping-particle" : "", "family" : "Nobre", "given" : "Glauber Carvalho", "non-dropping-particle" : "", "parse-names" : false, "suffix" : "" } ], "container-title" : "Revista da Educa\u00e7\u00e3o F\u00edsica/UEM", "id" : "ITEM-1", "issue" : "2", "issued" : { "date-parts" : [ [ "2012" ] ] }, "page" : "175-182", "title" : "CRIAN\u00c7AS DESNUTRIDAS PREGRESSAS, COM SOBREPESO E OBESAS APRESENTAM DESEMPENHO MOTOR POBRE", "type" : "article-journal", "volume" : "23" }, "uris" : [ "http://www.mendeley.com/documents/?uuid=9b0b362c-0648-4e22-bb77-68946f5f6a46" ] } ], "mendeley" : { "formattedCitation" : "(2)", "plainTextFormattedCitation" : "(2)", "previouslyFormattedCitation" : "(2)"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(2)</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Além disso, os escolares passam por importantes fases como o crescimento, desenvolvimento psicológico e corporal e também pela formação de hábitos alimentares que tendem a repercutir na adolescência e se solidificarem na idade adulta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"10.4025/actascihealthsci.v33i1.7636", "ISSN" : "16799291", "author" : [ { "dropping-particle" : "", "family" : "Fanhani", "given" : "Khary Kelly", "non-dropping-particle" : "", "parse-names" : false, "suffix" : "" }, { "dropping-particle" : "", "family" : "Bennemann", "given" : "Rosi Mari", "non-dropping-particle" : "", "parse-names" : false, "suffix" : "" } ], "container-title" : "Acta Scientiarum - Health Sciences", "id" : "ITEM-1", "issue" : "1", "issued" : { "date-parts" : [ [ "2011" ] ] }, "page" : "77-82", "title" : "Estado nutricional de escolares da rede municipal de ensino de Maring\u00e1, Estado do Paran\u00e1, Brasil", "type" : "article-journal", "volume" : "33" }, "uris" : [ "http://www.mendeley.com/documents/?uuid=419b982c-28c3-482b-bd48-2ce33ca968c4" ] } ], "mendeley" : { "formattedCitation" : "(3)", "plainTextFormattedCitation" : "(3)", "previouslyFormattedCitation" : "(3)"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(3)</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De uma forma geral, o conhecimento em nutrição também pode influenciar os hábitos alimentares, sugerindo-se que a educação nutricional seja incorporada ao currículo escolar, envolvendo ativamente professores, comunidade escolar e família. No tocante para Morrison et. al (2013) a família exerce influência decisiva no autocontrole da ingestão alimentar e na formação de um padrão de comportamento alimentar adequado ou não</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"10.1590/S0034-89102005000400004", "ISBN" : "0034-8910", "ISSN" : "00348910", "PMID" : "17347524", "abstract" : "Baseado na disserta\u00e7\u00e3o de mestrado apresentada ao Departamento de P\u00f3s-Gradua\u00e7\u00e3o em Epidemiologia da Universidade Federal do Rio Grande do Sul, em 2004. Recebido em 5/5/2004. Reapresentado em 31/1/2005. Aprovado em 17/3/2005. Resumo Objetivo Avaliar a associa\u00e7\u00e3o da obesidade com as pr\u00e1ticas alimentares e conhecimentos de nutri\u00e7\u00e3o em escolares. M\u00e9todos Peso e estatura foram medidos em 573 crian\u00e7as de todas as escolas municipais de Dois Irm\u00e3os e Morro Reuter, RS. Obesidade foi definida como \u00edndice de massa corporal acima do percentil 95, tendo como refer\u00eancia os dados do National Center for Health Statistics. Pr\u00e1ticas alimentares e conhecimentos em nutri\u00e7\u00e3o foram avaliados por question\u00e1rio auto-aplicado aos escolares. Foi realizada an\u00e1lise de regress\u00e3o log\u00edstica simples e ajustada para verificar associa\u00e7\u00f5es. Resultados A obesidade mostrou-se associada com menos conhecimento de nutri\u00e7\u00e3o e pr\u00e1ticas alimentares menos saud\u00e1veis. Crian\u00e7as com essas caracter\u00edsticas apresentaram cinco vezes mais chances de serem obesas (OR=5,3;1,1-24,9). Conclus\u00f5es O n\u00edvel de conhecimento modifica a rela\u00e7\u00e3o entre obesidade e pr\u00e1ticas alimentares, levantando a suspeita de que as crian\u00e7as que sabem mais sobre nutri\u00e7\u00e3o relatam pr\u00e1ticas sabidamente mais saud\u00e1veis e n\u00e3o necessariamente as praticadas. As pr\u00e1ticas alimentares menos saud\u00e1veis, quando considerado o n\u00edvel de conhecimento em nutri\u00e7\u00e3o dos escolares, foram fortemente associadas \u00e0 obesidade. Abstract Objective To evaluate the association between obesity and eating habits and nutritional knowledge among schoolchildren. Methods Weight and height were measured in 573 schoolchildren of public schools in two cities of State of Rio Grande do Sul, Southern Brazil. Obesity was defined as Body Mass Index above the 95th percentile based on the National Center for Health Statistics (NCHS) criteria. Eating habits and nutrition knowledge were evaluated using a self-administered questionnaire. Simple and adjusted logistic regression models were used to assess associations.", "author" : [ { "dropping-particle" : "", "family" : "Triches", "given" : "Rozane M\u00e1rcia", "non-dropping-particle" : "", "parse-names" : false, "suffix" : "" }, { "dropping-particle" : "", "family" : "Giugliani", "given" : "Elsa Regina Justo", "non-dropping-particle" : "", "parse-names" : false, "suffix" : "" } ], "container-title" : "Revista de Sa\u00fade P\u00fablica", "id" : "ITEM-1", "issue" : "4", "issued" : { "date-parts" : [ [ "2005" ] ] }, "page" : "541-547", "title" : "Obesidade, pr\u00e1ticas alimentares e conhecimentos de nutri\u00e7\u00e3o em escolares", "type" : "article-journal", "volume" : "39" }, "uris" : [ "http://www.mendeley.com/documents/?uuid=8518d298-e44d-4ec3-8f1f-501589068afc" ] }, { "id" : "ITEM-2", "itemData" : { "author" : [ { "dropping-particle" : "", "family" : "Maranh\u00e3o", "given" : "H\u00e9lcio de Sousa", "non-dropping-particle" : "", "parse-names" : false, "suffix" : "" }, { "dropping-particle" : "de", "family" : "Aguiar", "given" : "Renata Cunha", "non-dropping-particle" : "", "parse-names" : false, "suffix" : "" }, { "dropping-particle" : "de", "family" : "Lira", "given" : "D\u00e9bora Teixeira Jales", "non-dropping-particle" : "", "parse-names" : false, "suffix" : "" }, { "dropping-particle" : "", "family" : "Sales", "given" : "M\u00f4nica \u00darsula Figuer\u00eado", "non-dropping-particle" : "", "parse-names" : false, "suffix" : "" }, { "dropping-particle" : "", "family" : "N\u00f3brega", "given" : "Nathalia \u00c1vila do Nascimento", "non-dropping-particle" : "", "parse-names" : false, "suffix" : "" } ], "container-title" : "Revista de Pediatria de S\u00e3o Paulo", "id" : "ITEM-2", "issued" : { "date-parts" : [ [ "2017" ] ] }, "page" : "1-7", "title" : "Dificuldades Alimentares em pr-escolares, pr\u00e1ticas alimentares pregressas e estado nutricional.", "type" : "article-journal" }, "uris" : [ "http://www.mendeley.com/documents/?uuid=e091b9eb-1a4b-49d4-91f6-64ef3b62074a" ] } ], "mendeley" : { "formattedCitation" : "(4,5)", "plainTextFormattedCitation" : "(4,5)", "previouslyFormattedCitation" : "(4,5)"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(4,5)</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De acordo com Suñé et. al. (2007) as investigações que avaliam o estado nutricional de crianças e adolescente, têm demonstrado que independentemente do método de classificação utilizado, a prevalência de sobrepeso e obesidade tem crescido significativamente. Essa avaliação tem por objetivo verificar o crescimento e as proporções corporais em um indivíduo ou comunidade, a fim de estabelecer atitudes de intervenção</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"author" : [ { "dropping-particle" : "", "family" : "Contreira", "given" : "Andressa Ribeiro", "non-dropping-particle" : "", "parse-names" : false, "suffix" : "" }, { "dropping-particle" : "", "family" : "Capistrano", "given" : "Renata", "non-dropping-particle" : "", "parse-names" : false, "suffix" : "" }, { "dropping-particle" : "de", "family" : "Oliveira", "given" : "Annelise do Vale Pereira", "non-dropping-particle" : "", "parse-names" : false, "suffix" : "" }, { "dropping-particle" : "", "family" : "Beltrame", "given" : "Thais Silva", "non-dropping-particle" : "", "parse-names" : false, "suffix" : "" } ], "container-title" : "Cinergis.", "id" : "ITEM-1", "issue" : "1", "issued" : { "date-parts" : [ [ "2013" ] ] }, "page" : "13-17", "title" : "Indicadores de sa\u00fade em escolares: avalia\u00e7\u00e3o do estado nutricional e desempenho motor", "type" : "article-journal", "volume" : "14" }, "uris" : [ "http://www.mendeley.com/documents/?uuid=1b801ead-a329-4b56-98e3-e593c61763b4" ] }, { "id" : "ITEM-2", "itemData" : { "author" : [ { "dropping-particle" : "", "family" : "Marramarco", "given" : "Cesare Augusto", "non-dropping-particle" : "", "parse-names" : false, "suffix" : "" } ], "id" : "ITEM-2", "issued" : { "date-parts" : [ [ "2007" ] ] }, "number-of-pages" : "1-104", "publisher" : "Universidade do Estado de Santa Catarina", "title" : "Rela\u00e7\u00e3o entre o estado nutricional e o desempenho motor de crian\u00e7as do munic\u00edpio de Farroupilha - RS.", "type" : "thesis" }, "uris" : [ "http://www.mendeley.com/documents/?uuid=d5c7695f-85e3-4421-a687-6c4fd4b3d441" ] } ], "mendeley" : { "formattedCitation" : "(6,7)", "plainTextFormattedCitation" : "(6,7)", "previouslyFormattedCitation" : "(6,7)"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(6,7)</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lastRenderedPageBreak/>
        <w:t>No diagnóstico do estado nutricional, as medidas antropométricas são utilizadas para identificar grupos de risco em desnutrição e obesidade.</w:t>
      </w:r>
      <w:r w:rsidRPr="006C4E2F">
        <w:rPr>
          <w:rFonts w:ascii="Garamond" w:hAnsi="Garamond"/>
        </w:rPr>
        <w:t xml:space="preserve"> </w:t>
      </w:r>
      <w:r w:rsidRPr="006C4E2F">
        <w:rPr>
          <w:rFonts w:ascii="Garamond" w:hAnsi="Garamond"/>
          <w:sz w:val="24"/>
          <w:szCs w:val="24"/>
        </w:rPr>
        <w:t>Para Eaton et. al. (2008)  &amp; Neutzling et. al. (2000)</w:t>
      </w:r>
      <w:r w:rsidRPr="006C4E2F">
        <w:rPr>
          <w:rFonts w:ascii="Garamond" w:hAnsi="Garamond" w:cs="Arial"/>
          <w:sz w:val="24"/>
          <w:szCs w:val="24"/>
        </w:rPr>
        <w:t>, o índice de massa corporal (IMC) tem sido recomendado pela Organização Mundial da Saúde (OMS) para avaliação do estado nutricional de crianças e adolescentes, sendo amplamente utilizado em estudos epidemiológicos</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"10.1590/S1020-49892010000700005", "ISSN" : "1020-4989", "abstract" : "OBJETIVO: Descrever e comparar o estado nutricional de crian\u00e7as e adolescentes utilizando tr\u00eas crit\u00e9rios baseados no \u00edndice de massa corporal (IMC); analisar a concord\u00e2ncia entre os crit\u00e9rios quanto \u00e0 frequ\u00eancia de excesso de peso; investigar se os fatores associados ao excesso de peso diferem conforme o crit\u00e9rio utilizado. M\u00c9TODOS: Foram investigados: crit\u00e9rio da International Obesity Task Force (IOTF), de 2000; de Conde e Monteiro, de 2006; e da Organiza\u00e7\u00e3o Mundial da Sa\u00fade (OMS), de 2007. Peso, estatura e aptid\u00e3o f\u00edsica foram medidos em 525 escolares de escolas urbanas e rurais, com idade entre 7 e 15 anos (m\u00e9dia = 11,0 \u00b1 2,1). Utilizou-se o teste pareado de McNemar, a estat\u00edstica kappa e a regress\u00e3o de Poisson para avaliar, respectivamente, cada um dos objetivos. RESULTADOS: A preval\u00eancia geral de excesso de peso (sobrepeso + obesidade) foi de 28,4% para o crit\u00e9rio da IOTF, 35,1% para o da OMS e 35,8% para o de Conde e Monteiro. N\u00e3o houve diferen\u00e7a entre os crit\u00e9rios quanto \u00e0 preval\u00eancia de excesso de peso em mo\u00e7as e rapazes. No entanto, para cada sexo, os crit\u00e9rios geraram resultados diferentes conforme o grupo et\u00e1rio, especialmente na faixa de 7 a 9 anos. Mesmo assim, a concord\u00e2ncia (kappa) entre os crit\u00e9rios foi satisfat\u00f3ria: de 0,71 a 0,98, conforme o sexo e a faixa et\u00e1ria. Os fatores associados ao excesso de peso e as magnitudes das medidas de associa\u00e7\u00e3o foram similares para os tr\u00eas crit\u00e9rios. CONCLUS\u00d5ES: O crit\u00e9rio da IOTF produziu uma preval\u00eancia de excesso de peso 20% menor que os crit\u00e9rios da OMS e de Conde e Monteiro. Apesar das diferen\u00e7as conforme sexo e idade, a concord\u00e2ncia entre os crit\u00e9rios foi relativamente alta e os fatores associados ao excesso de peso foram os mesmos. Estudos com metodologia semelhante s\u00e3o necess\u00e1rios para determinar se os resultados encontrados se confirmam em outras popula\u00e7\u00f5es de crian\u00e7as e adolescentes.", "author" : [ { "dropping-particle" : "", "family" : "Dumith", "given" : "Samuel C", "non-dropping-particle" : "", "parse-names" : false, "suffix" : "" }, { "dropping-particle" : "", "family" : "Farias J\u00fanior", "given" : "Jos\u00e9 Cazuza", "non-dropping-particle" : "", "parse-names" : false, "suffix" : "" } ], "container-title" : "Revista Panamericana de Salud P\u00fablica", "id" : "ITEM-1", "issue" : "1", "issued" : { "date-parts" : [ [ "2010" ] ] }, "page" : "30-35", "title" : "Sobrepeso e obesidade em crian\u00e7as e adolescentes: compara\u00e7\u00e3o de tr\u00eas crit\u00e9rios de classifica\u00e7\u00e3o baseados no \u00edndice de massa corporal", "type" : "article-journal", "volume" : "28" }, "uris" : [ "http://www.mendeley.com/documents/?uuid=e5253c5d-c1d5-4b31-bd37-b5eabeb1e6af" ] } ], "mendeley" : { "formattedCitation" : "(8)", "plainTextFormattedCitation" : "(8)", "previouslyFormattedCitation" : "(8)"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(8)</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Deste modo para Vieira et. al (2010) e Coutinho et. al (2008) “A desnutrição é responsável por acarretar importantes prejuízos na infância e representa a causa de mais de um terço das mortes infantis em todo o mundo. Esse é um problema preocupante, onde estima-se que 178 milhões de crianças no mundo encontram-se com baixa estatura, reflexo de alimentação insuficiente aliada à presença de doenças. Além disso, a desnutrição infantil pode predispor a complicações na fase adulta”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"10.1590/1413-81232017222.26252015", "ISSN" : "1413-8123", "abstract" : "Resumo Avaliou-se o estado nutricional e sua associa\u00e7\u00e3o com os h\u00e1bitos alimentares de crian\u00e7as escolares que frequentam a rede p\u00fablica de ensino do munic\u00edpio de Campina Grande, Para\u00edba. Estudo transversal, realizado com 1081 crian\u00e7as de 5 a 10 anos. Analisaram-se os \u00edndices antropom\u00e9tricos estatura/idade (E/I) e \u00cdndice de Massa Corporal/idade (IMC/I), e os h\u00e1bitos alimentares dos escolares. Verificaram-se preval\u00eancias de d\u00e9ficit de estatura, sobrepeso e obesidade de 2,4%, 12,3% e 9,2%, respectivamente. O E/I apresentou-se com m\u00e9dia inferior (p = 0,029) nas crian\u00e7as que indicaram quase nunca tomar caf\u00e9 da manh\u00e3 (-0,130 \u00b1 1,053 Escore-z) em compara\u00e7\u00e3o com as que faziam essa refei\u00e7\u00e3o todas ou na maioria das vezes (0,183 \u00b1 0,912 Escore-z), associa\u00e7\u00e3o similar foi observada quando a merenda escolar n\u00e3o era consumida (p = 0,001). Para o IMC/I, crian\u00e7as com h\u00e1bito de fazer todas as refei\u00e7\u00f5es apresentaram menor m\u00e9dia (p = 0,034); resultado similar foi observado em rela\u00e7\u00e3o ao h\u00e1bito de tomar caf\u00e9 da manh\u00e3 em que menor m\u00e9dia foi constatada entre as crian\u00e7as com esse costume (p = 0,020). Conclui-se que o estado nutricional dos escolares \u00e9 marcado por altas taxas de sobrepeso/obesidade. Sugere-se que os preju\u00edzos no estado nutricional estejam relacionados ao n\u00e3o consumo do caf\u00e9 da manh\u00e3 e da alimenta\u00e7\u00e3o oferecida na escola.", "author" : [ { "dropping-particle" : "", "family" : "Pedraza", "given" : "Dixis Figueroa", "non-dropping-particle" : "", "parse-names" : false, "suffix" : "" }, { "dropping-particle" : "", "family" : "Silva", "given" : "Franciely Albuquerque", "non-dropping-particle" : "", "parse-names" : false, "suffix" : "" }, { "dropping-particle" : "de", "family" : "Melo", "given" : "Nadinne L\u00edvia Silva", "non-dropping-particle" : "", "parse-names" : false, "suffix" : "" }, { "dropping-particle" : "", "family" : "Ara\u00fajo", "given" : "Erika Morganna Neves", "non-dropping-particle" : "", "parse-names" : false, "suffix" : "" }, { "dropping-particle" : "", "family" : "Sousa", "given" : "Carolina Pereira da Cunha", "non-dropping-particle" : "", "parse-names" : false, "suffix" : "" } ], "container-title" : "Ci\u00eancia &amp; Sa\u00fade Coletiva", "id" : "ITEM-1", "issue" : "2", "issued" : { "date-parts" : [ [ "2016" ] ] }, "page" : "469-477", "title" : "Estado nutricional e h\u00e1bitos alimentares de escolares de Campina Grande, Para\u00edba, Brasil", "type" : "article-journal", "volume" : "22" }, "uris" : [ "http://www.mendeley.com/documents/?uuid=dcdab5a0-c2f4-4e55-8b0e-fa9858ff6d66" ] } ], "mendeley" : { "formattedCitation" : "(9)", "plainTextFormattedCitation" : "(9)", "previouslyFormattedCitation" : "(9)"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(9)</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Um problema de saúde pública que tem considerado pela Organização Mundial de Saúde é a obesidade, onde vem atingindo todas as faixas etárias. Pesquisas têm reportado que crianças e adolescentes com sobrepeso e obesidade apresentam desempenhos mais pobres em habilidades motoras ao serem comparadas às não obesas</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"author" : [ { "dropping-particle" : "", "family" : "Zanella", "given" : "Larissa Wagner", "non-dropping-particle" : "", "parse-names" : false, "suffix" : "" }, { "dropping-particle" : "de", "family" : "Sousa", "given" : "Mariele Santayana", "non-dropping-particle" : "", "parse-names" : false, "suffix" : "" }, { "dropping-particle" : "", "family" : "Bandeira", "given" : "Paulo Felipe Ribeiro", "non-dropping-particle" : "", "parse-names" : false, "suffix" : "" }, { "dropping-particle" : "", "family" : "Nobre", "given" : "Glauber Carvalho", "non-dropping-particle" : "", "parse-names" : false, "suffix" : "" }, { "dropping-particle" : "", "family" : "Valentini", "given" : "Nadia Cristina", "non-dropping-particle" : "", "parse-names" : false, "suffix" : "" } ], "container-title" : "Motricidade", "id" : "ITEM-1", "issued" : { "date-parts" : [ [ "2016" ] ] }, "page" : "42-53", "title" : "Crian\u00e7as com sobrepeso e obesidade: interven\u00e7\u00e3o motora e suas influ\u00eancias no comportamento motor", "type" : "article-journal", "volume" : "12" }, "uris" : [ "http://www.mendeley.com/documents/?uuid=16770057-a6a0-413f-b1af-c92c5430dfe1" ] } ], "mendeley" : { "formattedCitation" : "(10)", "plainTextFormattedCitation" : "(10)", "previouslyFormattedCitation" : "(10)"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(10)</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 xml:space="preserve">A prevalência de sobrepeso/obesidade pode ser associada à uma alimentação inadequada tendo evidência a quantidade, composição e qualidade da dieta. Assim, o menor consumo de frutas, verduras, legumes e a ingestão de alimentos industrializados por parte de crianças e adolescentes pode aumentar e estar diretamente ligado ao sobrepeso/obesidade de uma forma frequente. </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"10.1590/S1415-790X2012000300018", "ISSN" : "1415-790X", "abstract" : "OBJETIVO: Estimar a preval\u00eancia de sobrepeso/obesidade em escolares e investigar sua associa\u00e7\u00e3o com o estado nutricional dos pais, fatores sociodemogr\u00e1ficos e de consumo alimentar. M\u00c9TODO: Estudo transversal realizado com 1.223 escolares de 7 a 10 anos de Florian\u00f3polis, SC. Foram coletados dados socioecon\u00f4micos e medidas antropom\u00e9tricas autorreferidas dos pais, e medidas antropom\u00e9tricas diretas e de consumo alimentar do dia anterior dos escolares. O diagn\u00f3stico nutricional dos escolares foi definido a partir do \u00cdndice de Massa Corporal (IMC) para idade e sexo de acordo com dados de refer\u00eancia da Organiza\u00e7\u00e3o Mundial de Sa\u00fade (2007) e o dos pais segundo os pontos de corte do IMC tamb\u00e9m da Organiza\u00e7\u00e3o Mundial de Sa\u00fade (1995). Realizou-se an\u00e1lise bivariada e multivariada por meio da regress\u00e3o de Poisson. RESULTADOS: Preval\u00eancia de sobrepeso/obesidade de 36,2% nos meninos e 32,7% nas meninas. Nos pais e m\u00e3es a preval\u00eancia foi de, respectivamente, 56,3% e 27,5%. Dos fatores investigados, no modelo final permaneceram associados ao sobrepeso/obesidade nos escolares o estado nutricional das m\u00e3es (p = 0,001) e dos pais (p = 0,050). A preval\u00eancia de sobrepeso/obesidade foi 1,58 vezes maior em escolares com m\u00e3es e 1,41 vezes maior em escolares com pais com sobrepeso/obesidade, quando comparados a m\u00e3es e pais sem o problema. CONCLUS\u00c3O: Observou-se elevada preval\u00eancia de sobrepeso/obesidade nos escolares, e esta se associou ao estado nutricional de pais e m\u00e3es. Isso evidencia a necessidade de a\u00e7\u00f5es de preven\u00e7\u00e3o do ganho excessivo de peso ainda na inf\u00e2ncia que atuem tamb\u00e9m no ambiente familiar do escolar, a fim de reduzir a obesidade neste grupo populacional.", "author" : [ { "dropping-particle" : "", "family" : "Bernardo", "given" : "Carla de O.", "non-dropping-particle" : "", "parse-names" : false, "suffix" : "" }, { "dropping-particle" : "", "family" : "Pudla", "given" : "K\u00e1tia J.", "non-dropping-particle" : "", "parse-names" : false, "suffix" : "" }, { "dropping-particle" : "", "family" : "Longo", "given" : "Giana Z.", "non-dropping-particle" : "", "parse-names" : false, "suffix" : "" }, { "dropping-particle" : "de", "family" : "Vasconcelos", "given" : "Francisco de A. G.", "non-dropping-particle" : "", "parse-names" : false, "suffix" : "" } ], "container-title" : "Revista Brasileira de Epidemiologia.", "id" : "ITEM-1", "issue" : "3", "issued" : { "date-parts" : [ [ "2012" ] ] }, "page" : "651-661", "title" : "Fatores associados ao estado nutricional de escolares de 7 a 10 anos: aspectos sociodemogr\u00e1ficos, de consumo alimentar e estado nutricional dos pais", "type" : "article-journal", "volume" : "15" }, "uris" : [ "http://www.mendeley.com/documents/?uuid=5eb43910-5e83-43ea-867a-9cef145809a2" ] } ], "mendeley" : { "formattedCitation" : "(11)", "plainTextFormattedCitation" : "(11)", "previouslyFormattedCitation" : "(11)"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(11)</w:t>
      </w:r>
      <w:r w:rsidRPr="006C4E2F">
        <w:rPr>
          <w:rFonts w:ascii="Garamond" w:hAnsi="Garamond" w:cs="Arial"/>
          <w:sz w:val="24"/>
          <w:szCs w:val="24"/>
        </w:rPr>
        <w:fldChar w:fldCharType="end"/>
      </w:r>
      <w:r w:rsidRPr="006C4E2F">
        <w:rPr>
          <w:rFonts w:ascii="Garamond" w:hAnsi="Garamond" w:cs="Arial"/>
          <w:sz w:val="24"/>
          <w:szCs w:val="24"/>
        </w:rPr>
        <w:t xml:space="preserve">. </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 xml:space="preserve">A aptidão física apresenta características individualizadas, de acordo com as necessidades próprias de atividades físicas de cada ser humano. Possui elementos qualitativos de acordo com o modo de vida, apresenta variações entre os indivíduos e também varia </w:t>
      </w:r>
      <w:r w:rsidRPr="006C4E2F">
        <w:rPr>
          <w:rFonts w:ascii="Garamond" w:hAnsi="Garamond" w:cs="Arial"/>
          <w:sz w:val="24"/>
          <w:szCs w:val="24"/>
        </w:rPr>
        <w:lastRenderedPageBreak/>
        <w:t>durante as diferentes fases da vida do próprio indivíduo, nas quais ele pode ser mais ou menos ativo.</w:t>
      </w:r>
      <w:r w:rsidRPr="006C4E2F">
        <w:rPr>
          <w:rFonts w:ascii="Garamond" w:hAnsi="Garamond" w:cs="Arial"/>
          <w:color w:val="FF0000"/>
          <w:sz w:val="24"/>
          <w:szCs w:val="24"/>
        </w:rPr>
        <w:t xml:space="preserve"> </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"abstract" : "O desenvolvimento da aptid\u00e3o f\u00edsica, assim como do esporte nas suas diferentes formas de manifesta\u00e7\u00e3o, s\u00e3o objetivos a serem alcan\u00e7ados em programas de Educa\u00e7\u00e3o F\u00edsica e de esporte nos quais o indiv\u00edduo \u00e9 submetido a um processo de treinamento. Para tanto, \u00e9 necess\u00e1rio que o profissional de Educa\u00e7\u00e3o F\u00edsica ou Esporte tenha conhecimento destes conceitos e suas rela\u00e7\u00f5es. A partir da apresenta\u00e7\u00e3o dos aspectos evolutivos das conceitua\u00e7\u00f5es de aptid\u00e3o f\u00edsica, esporte e treinamento esportivo, pretendeu-se pelo presente trabalho analisar as rela\u00e7\u00f5es entre os mesmos.", "author" : [ { "dropping-particle" : "", "family" : "B\u00f6hme", "given" : "M. Tereza", "non-dropping-particle" : "", "parse-names" : false, "suffix" : "" } ], "container-title" : "Revista Brasileira de Ci\u00eancia e Movimento", "id" : "ITEM-1", "issued" : { "date-parts" : [ [ "2003" ] ] }, "page" : "97-104", "title" : "Rela\u00e7\u00f5es entre aptid\u00e3o f\u00edsica , esporte e treinamento esportivo.", "type" : "article-journal", "volume" : "11" }, "uris" : [ "http://www.mendeley.com/documents/?uuid=70f22626-5909-4aeb-b264-b57cfb24d558" ] } ], "mendeley" : { "formattedCitation" : "(12)", "plainTextFormattedCitation" : "(12)", "previouslyFormattedCitation" : "(12)"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(12)</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Recentemente há uma preocupação maior em manter bons níveis de aptidão física, apesar de que hoje em dia com o surgimento de novas tecnologias  vêm incentivando o ser humano a ter um estilo de vida menos ativo e assim contribuindo com o sedentarismo onde nota-se que os adolescentes são os mais atingidos havendo um desinteresse nas prática de atividade física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"ISSN" : "2177-4005", "author" : [ { "dropping-particle" : "", "family" : "Jochims", "given" : "Samuel", "non-dropping-particle" : "", "parse-names" : false, "suffix" : "" }, { "dropping-particle" : "", "family" : "Zeni", "given" : "Adriana Eloisa", "non-dropping-particle" : "", "parse-names" : false, "suffix" : "" }, { "dropping-particle" : "", "family" : "Nunes", "given" : "Henrique Mena Barreto", "non-dropping-particle" : "", "parse-names" : false, "suffix" : "" }, { "dropping-particle" : "", "family" : "Borfe", "given" : "Let\u00edcia", "non-dropping-particle" : "", "parse-names" : false, "suffix" : "" }, { "dropping-particle" : "", "family" : "Burgos", "given" : "Miria Suzana", "non-dropping-particle" : "", "parse-names" : false, "suffix" : "" } ], "container-title" : "Cinergis.", "id" : "ITEM-1", "issue" : "2", "issued" : { "date-parts" : [ [ "2013" ] ] }, "page" : "143-147", "title" : "Aptid\u00e3o f\u00edsica relacionada ao desempenho motor de escolares : estudo comparativo dos hemisf\u00e9rios Norte \u2013 Sul \u2013 Leste - Oeste , da zona rural de Santa Cruz do Sul - RS.", "type" : "article-journal", "volume" : "14" }, "uris" : [ "http://www.mendeley.com/documents/?uuid=edabbd2b-1b42-47d3-86c3-864b5a6a0bc8" ] } ], "mendeley" : { "formattedCitation" : "(13)", "plainTextFormattedCitation" : "(13)", "previouslyFormattedCitation" : "(13)"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(13)</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Em relação a aptidão física, esta vem sendo estudada em duas vertentes de acordo com Nahas (2001) &amp; Lorenzi e Bergmann (2005): a aptidão física relacionada à saúde no qual refere-se a demandas energéticas que possibilitam desenvolver atividades do cotidiano com vigor, proporcionando um menor risco de desenvolver doenças ou condições crônico-degenerativas e a aptidão física relacionada ao rendimento esportivo no qual está relacionada às habilidades esportivas ou performance motora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"author" : [ { "dropping-particle" : "", "family" : "Pereira", "given" : "Cleiton Holanda", "non-dropping-particle" : "", "parse-names" : false, "suffix" : "" }, { "dropping-particle" : "", "family" : "Ferreira", "given" : "Debora da Silva", "non-dropping-particle" : "", "parse-names" : false, "suffix" : "" }, { "dropping-particle" : "", "family" : "Copetti", "given" : "Giano Luis", "non-dropping-particle" : "", "parse-names" : false, "suffix" : "" }, { "dropping-particle" : "", "family" : "Guimar\u00e3es", "given" : "Leandro Corr\u00eaa", "non-dropping-particle" : "", "parse-names" : false, "suffix" : "" }, { "dropping-particle" : "", "family" : "Barbacena", "given" : "Marcella Manfrin", "non-dropping-particle" : "", "parse-names" : false, "suffix" : "" } ], "container-title" : "Revista Brasileira de Atividade F\u00edsica &amp; Sa\u00fade.", "id" : "ITEM-1", "issue" : "3", "issued" : { "date-parts" : [ [ "2011" ] ] }, "page" : "223-227", "title" : "Aptid\u00e3o f\u00edsica em escolares de uma unidade de ensino da rede p\u00fablica de Bras\u00edlia-DF", "type" : "article-journal", "volume" : "16" }, "uris" : [ "http://www.mendeley.com/documents/?uuid=9ef572a2-6452-4b8c-b405-0b00934aed84" ] } ], "mendeley" : { "formattedCitation" : "(14)", "plainTextFormattedCitation" : "(14)", "previouslyFormattedCitation" : "(14)"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(14)</w:t>
      </w:r>
      <w:r w:rsidRPr="006C4E2F">
        <w:rPr>
          <w:rFonts w:ascii="Garamond" w:hAnsi="Garamond" w:cs="Arial"/>
          <w:sz w:val="24"/>
          <w:szCs w:val="24"/>
        </w:rPr>
        <w:fldChar w:fldCharType="end"/>
      </w:r>
      <w:r w:rsidRPr="006C4E2F">
        <w:rPr>
          <w:rFonts w:ascii="Garamond" w:hAnsi="Garamond" w:cs="Arial"/>
          <w:sz w:val="24"/>
          <w:szCs w:val="24"/>
        </w:rPr>
        <w:t xml:space="preserve">. </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A avaliação da aptidão física de escolares implica conhecer suas capacidades motoras e classificar os escores obtidos diante de critérios estabelecidos e aceitos como referência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"10.5007/1980-0037.2008v10n3p271", "ISSN" : "14158426", "author" : [ { "dropping-particle" : "de", "family" : "Ara\u00fajo", "given" : "Silvan Silva", "non-dropping-particle" : "", "parse-names" : false, "suffix" : "" }, { "dropping-particle" : "de", "family" : "Oliveira", "given" : "Ant\u00f4nio C\u00e9sar Cabral", "non-dropping-particle" : "", "parse-names" : false, "suffix" : "" } ], "container-title" : "Revista Brasileira de Cineantropometria e Desempenho Humano.", "id" : "ITEM-1", "issue" : "3", "issued" : { "date-parts" : [ [ "2008" ] ] }, "page" : "271-276", "title" : "Aptid\u00e3o f\u00edsica em escolares de Aracaju", "type" : "article-journal", "volume" : "10" }, "uris" : [ "http://www.mendeley.com/documents/?uuid=fe4e8642-4c65-451a-848b-d8db0db1bd4b" ] } ], "mendeley" : { "formattedCitation" : "(15)", "plainTextFormattedCitation" : "(15)", "previouslyFormattedCitation" : "(15)"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(15)</w:t>
      </w:r>
      <w:r w:rsidRPr="006C4E2F">
        <w:rPr>
          <w:rFonts w:ascii="Garamond" w:hAnsi="Garamond" w:cs="Arial"/>
          <w:sz w:val="24"/>
          <w:szCs w:val="24"/>
        </w:rPr>
        <w:fldChar w:fldCharType="end"/>
      </w:r>
      <w:r w:rsidRPr="006C4E2F">
        <w:rPr>
          <w:rFonts w:ascii="Garamond" w:hAnsi="Garamond" w:cs="Arial"/>
          <w:sz w:val="24"/>
          <w:szCs w:val="24"/>
        </w:rPr>
        <w:t xml:space="preserve">. </w:t>
      </w:r>
    </w:p>
    <w:p w:rsidR="00757793" w:rsidRPr="006C4E2F" w:rsidRDefault="00757793" w:rsidP="00757793">
      <w:pPr>
        <w:spacing w:line="480" w:lineRule="auto"/>
        <w:jc w:val="both"/>
        <w:rPr>
          <w:rFonts w:ascii="Garamond" w:hAnsi="Garamond" w:cs="Arial"/>
          <w:sz w:val="24"/>
          <w:szCs w:val="24"/>
        </w:rPr>
      </w:pPr>
      <w:r w:rsidRPr="006C4E2F">
        <w:rPr>
          <w:rFonts w:ascii="Garamond" w:hAnsi="Garamond" w:cs="Arial"/>
          <w:sz w:val="24"/>
          <w:szCs w:val="24"/>
        </w:rPr>
        <w:tab/>
        <w:t>Os benefícios para a saúde relacionada a prevenção de morbidades a partir da prática de atividades físicas de forma regular já vem sendo mostrada em estudos epidemiológicos a partir da infância e adolescência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"10.1590/S1517-86922008000500011", "ISSN" : "1517-8692", "abstract" : "Embora os benef\u00edcios da aptid\u00e3o f\u00edsica sobre a sa\u00fade e preven\u00e7\u00e3o de doen\u00e7as estejam amplamente relatados na literatura, existem poucas investiga\u00e7\u00f5es sobre esse tema, principalmente com crian\u00e7as e adolescentes. Portanto, o objetivo do presente estudo foi analisar os componentes de aptid\u00e3o f\u00edsica relacionada \u00e0 sa\u00fade (AFRS) de acordo com caracter\u00edsticas como sexo, idade, rede de ensino (p\u00fablica ou privada) e \u00e1rea geogr\u00e1fica (rural ou urbana), em indiv\u00edduos de sete a 15 anos de idade. Os dados coletados fazem parte do Projeto Esporte Brasil (Proesp-BR), e os componentes de AFRS avaliados foram: \u00edndice de massa corporal (IMC), flexibilidade (teste de \"sentar-e-alcan\u00e7ar\"), resist\u00eancia muscular localizada (RML) (teste de abdominal em um minuto) e capacidade aer\u00f3bia (teste de corrida de nove minutos). A amostra foi composta por 665 escolares do ensino fundamental do munic\u00edpio de Rio Grande, Rio Grande do Sul (RS), selecionados de maneira aleat\u00f3ria. Para a compara\u00e7\u00e3o das m\u00e9dias das medidas e testes conforme as vari\u00e1veis independentes, utilizou-se o m\u00e9todo de regress\u00e3o linear simples e multivari\u00e1vel. Dentre os principais achados, destaca-se que os componentes de AFRS estiveram mais associados com caracter\u00edsticas biol\u00f3gicas (sexo e idade), sem diferen\u00e7as expressivas por rede de ensino ou \u00e1rea geogr\u00e1fica da escola (indicadores de n\u00edvel socioecon\u00f4mico). Outros estudos s\u00e3o necess\u00e1rios para o estabelecimento de par\u00e2metros de refer\u00eancia nacionais de AFRS de crian\u00e7as e adolescentes.", "author" : [ { "dropping-particle" : "", "family" : "Dumith", "given" : "Samuel de Carvalho", "non-dropping-particle" : "", "parse-names" : false, "suffix" : "" }, { "dropping-particle" : "", "family" : "J\u00fanior", "given" : "Mario Renato Azevedo", "non-dropping-particle" : "", "parse-names" : false, "suffix" : "" }, { "dropping-particle" : "", "family" : "Rombaldi", "given" : "Airton Jos\u00e9", "non-dropping-particle" : "", "parse-names" : false, "suffix" : "" } ], "container-title" : "Revista Brasileira de Medicina do Esporte.", "id" : "ITEM-1", "issue" : "5", "issued" : { "date-parts" : [ [ "2008" ] ] }, "page" : "454-459", "title" : "Aptid\u00e3o f\u00edsica relacionada \u00e0 sa\u00fade de alunos do ensino fundamental do munic\u00edpio de Rio Grande, RS, Brasil", "type" : "article-journal", "volume" : "14" }, "uris" : [ "http://www.mendeley.com/documents/?uuid=24265c7f-a827-47a3-8e46-99d8c847ad4b" ] } ], "mendeley" : { "formattedCitation" : "(16)", "plainTextFormattedCitation" : "(16)", "previouslyFormattedCitation" : "(16)"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(16)</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Os efeitos positivos da aptidão física têm consequências adversas relacionadas as crianças e adolescentes deixando de lado o sedentarismo e tornando-se importante a aquisição de hábitos positivos para a prática de atividades físicas partindo da infância e sendo indispensável para todos os indivíduos, atuando contra o surgimento de doenças e assim podendo ser um estimulante para que venha ser praticada pelo resto da vida</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"author" : [ { "dropping-particle" : "", "family" : "Pereira", "given" : "Cleiton Holanda", "non-dropping-particle" : "", "parse-names" : false, "suffix" : "" }, { "dropping-particle" : "", "family" : "Ferreira", "given" : "Debora da Silva", "non-dropping-particle" : "", "parse-names" : false, "suffix" : "" }, { "dropping-particle" : "", "family" : "Copetti", "given" : "Giano Luis", "non-dropping-particle" : "", "parse-names" : false, "suffix" : "" }, { "dropping-particle" : "", "family" : "Guimar\u00e3es", "given" : "Leandro Corr\u00eaa", "non-dropping-particle" : "", "parse-names" : false, "suffix" : "" }, { "dropping-particle" : "", "family" : "Barbacena", "given" : "Marcella Manfrin", "non-dropping-particle" : "", "parse-names" : false, "suffix" : "" } ], "container-title" : "Revista Brasileira de Atividade F\u00edsica &amp; Sa\u00fade.", "id" : "ITEM-1", "issue" : "3", "issued" : { "date-parts" : [ [ "2011" ] ] }, "page" : "223-227", "title" : "Aptid\u00e3o f\u00edsica em escolares de uma unidade de ensino da rede p\u00fablica de Bras\u00edlia-DF", "type" : "article-journal", "volume" : "16" }, "uris" : [ "http://www.mendeley.com/documents/?uuid=9ef572a2-6452-4b8c-b405-0b00934aed84" ] }, { "id" : "ITEM-2", "itemData" : { "abstract" : "O estudo teve como objetivo analisar os n\u00edveis de aptid\u00e3o f\u00edsica relacionada \u00e0 sa\u00fade de escolares de 11 a 14 anos, de ambos os sexos, pertencentes a uma escola p\u00fablica de Marechal C\u00e2ndido Rondon \u2013 Pr frente aos crit\u00e9rios propostos pelo Physical Best (1988). Participaram da amostra 113 alunos, sendo 57 rapazes e 56 mo\u00e7as, com idades variando entre 11 a 14 anos. Para obten\u00e7\u00e3o dos indicadores do peso corporal, foram obtidas as medidas de IMC, somat\u00f3rio de dobras cut\u00e2neas (tricipital e subescapular). Os testes motores sentar-e-alcan\u00e7ar, abdominal em 1 minuto, flex\u00e3o/ extens\u00e3o de bra\u00e7os em suspens\u00e3o na barra e corrida/caminhada de 1609 m foram utilizados para determina\u00e7\u00e3o dos n\u00edveis de aptid\u00e3o f\u00edsica. Para o tratamento estat\u00edstico dos dados, foi utilizado an\u00e1lise da freq\u00fc\u00eancia relativa do alcance dos crit\u00e9rios propos- tos. Os resultados demonstraram ser satisfat\u00f3rios para a maioria dos escolares de ambos os sexos, apresentando elevados \u00edndices nos crit\u00e9rios de sa\u00fade para o IMC e somat\u00f3rio de dobras cut\u00e2neas. Para os componentes de for\u00e7a e resist\u00eancia musculares, os resultados do teste abdominal apresentou os menores \u00edndices de alcance dos crit\u00e9- rios exigidos, com rela\u00e7\u00e3o aos demais testes para ambos os sexos e em todas as idades. Quanto ao teste de for\u00e7a de membros superiores, ambos os sexos alcan\u00e7aram em todas as idades mais de 90% do crit\u00e9rio exigido. Com rela\u00e7\u00e3o ao teste de corrida/caminhada, os resultados tamb\u00e9m foram baixos para ambos os sexos. Apenas as mo\u00e7as com idades 12 e 14 anos alcan\u00e7aram os \u00edndices mais elevados, sendo 68,8 e 58,3% respectivamen- te. Entre os rapazes, os melhores resultados aconteceram aos 12 anos, sendo de 72,7%, e nas demais idades os resultados variaram apenas entre 18 a 29% que atenderam ao crit\u00e9rio estabelecido. Quando se analisa o conjunto de testes que jovens de ambos os sexos alcan\u00e7aram simultaneamente os crit\u00e9rios para sa\u00fade, verificou-se que por volta de 35,7% das mo\u00e7as atenderam ao menos cinco dos itens, e por volta de 12,5% para o conjunto de seis itens de testes. Como apenas uma pequena parte dos jovens de ambos os sexos n\u00e3o alcan\u00e7aram os crit\u00e9rios estabelecidos em alguns itens espec\u00edficos dos testes, podendo comprometer o estado de sa\u00fade em idades mais avan\u00e7adas.", "author" : [ { "dropping-particle" : "", "family" : "Boelhouwer", "given" : "Cristiane", "non-dropping-particle" : "", "parse-names" : false, "suffix" : "" }, { "dropping-particle" : "", "family" : "Borges", "given" : "Gustavo Andr\u00e9", "non-dropping-particle" : "", "parse-names" : false, "suffix" : "" } ], "container-title" : "Caderno de Educa\u00e7\u00e3o F\u00edsica - Estudos e Reflex\u00f5es.", "id" : "ITEM-2", "issue" : "7", "issued" : { "date-parts" : [ [ "2002" ] ] }, "page" : "19-30", "title" : "Aptid\u00e3o F\u00edsica relacionada \u00e0 sa\u00fade de escolares de 11 a 14 anos de Marechal C\u00e2ndido Rondon - PR.", "type" : "article-journal", "volume" : "4" }, "uris" : [ "http://www.mendeley.com/documents/?uuid=259e79e8-01f7-4952-9a14-6884423b9de3" ] } ], "mendeley" : { "formattedCitation" : "(14,17)", "plainTextFormattedCitation" : "(14,17)", "previouslyFormattedCitation" : "(14,17)"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(14,17)</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lastRenderedPageBreak/>
        <w:t xml:space="preserve"> Neste sentido para Duche et. al. (2002) &amp; Deforche et. al (2003), a capacidade reduzida em realizar exercícios e praticar esportes está associada com um desempenho motor pobre e com o excesso de gordura corporal. Ademais, crianças obesas que participam de atividades que não são condizentes com seu nível de aptidão podem se desestimular e futuramente parar de praticar exercícios físicos</w:t>
      </w:r>
      <w:r w:rsidRPr="006C4E2F">
        <w:rPr>
          <w:rFonts w:ascii="Garamond" w:hAnsi="Garamond" w:cs="Arial"/>
          <w:sz w:val="24"/>
          <w:szCs w:val="24"/>
        </w:rPr>
        <w:fldChar w:fldCharType="begin" w:fldLock="1"/>
      </w:r>
      <w:r w:rsidRPr="006C4E2F">
        <w:rPr>
          <w:rFonts w:ascii="Garamond" w:hAnsi="Garamond" w:cs="Arial"/>
          <w:sz w:val="24"/>
          <w:szCs w:val="24"/>
        </w:rPr>
        <w:instrText>ADDIN CSL_CITATION { "citationItems" : [ { "id" : "ITEM-1", "itemData" : { "DOI" : "10.3900/fpj.9.1.72.p", "ISBN" : "7511860001", "ISSN" : "15199088", "abstract" : "Introduction: The aim of the present study was to analyze the motor performance in children of different nutritional status, participants of programs of sporting initiation in handball and to verify the correlation of Body Mass Index (BMI) with the motor variables. Materials and Methods: They were assessed 100 children (54 boys and 46 girls) from seven to eleven years of age. For the classification of the nutritional status the measures were body mass (kg) and stature (m). The Body mass Index (kg/m\u00b2) was calculated. The motor tests were handgrip strnght and horizontal jump (HJ). Results: The boys with overweight presented higher scores in tests of handgrip strenght in relation to their eutrophic pairs (p&lt;0.05).For boys, BMI presented ositive relationship with the variable of maximum volunteer force achieved by absolute handgrip (FMH) (r=0,45). Inverse relationship was observed between MBI and the test of HJ with r=-0.37 and r=0.31, for boys and girls, respectively. Discussion: The variable FMH, boys with overweight present better results, however, in the analysis of simple correlation, children with higher values of BMI present smaller scores in the test of HJ.", "author" : [ { "dropping-particle" : "", "family" : "Dellagrana", "given" : "Rodolfo Andr\u00e9", "non-dropping-particle" : "", "parse-names" : false, "suffix" : "" }, { "dropping-particle" : "", "family" : "Smolarek", "given" : "A.C.", "non-dropping-particle" : "", "parse-names" : false, "suffix" : "" }, { "dropping-particle" : "", "family" : "Laat", "given" : "E.F.", "non-dropping-particle" : "", "parse-names" : false, "suffix" : "" }, { "dropping-particle" : "", "family" : "Campos", "given" : "W.", "non-dropping-particle" : "", "parse-names" : false, "suffix" : "" } ], "container-title" : "Fitness &amp; Performance Journal", "id" : "ITEM-1", "issue" : "1", "issued" : { "date-parts" : [ [ "2010" ] ] }, "page" : "72-77", "title" : "Estado nutricional E desempenho motor de crian\u00e7as praticantes dE handebol", "type" : "article-journal", "volume" : "9" }, "uris" : [ "http://www.mendeley.com/documents/?uuid=7ade09a0-d0da-4efe-ab92-3ccef318b3c6" ] } ], "mendeley" : { "formattedCitation" : "(18)", "plainTextFormattedCitation" : "(18)", "previouslyFormattedCitation" : "(18)" }, "properties" : {  }, "schema" : "https://github.com/citation-style-language/schema/raw/master/csl-citation.json" }</w:instrText>
      </w:r>
      <w:r w:rsidRPr="006C4E2F">
        <w:rPr>
          <w:rFonts w:ascii="Garamond" w:hAnsi="Garamond" w:cs="Arial"/>
          <w:sz w:val="24"/>
          <w:szCs w:val="24"/>
        </w:rPr>
        <w:fldChar w:fldCharType="separate"/>
      </w:r>
      <w:r w:rsidRPr="006C4E2F">
        <w:rPr>
          <w:rFonts w:ascii="Garamond" w:hAnsi="Garamond" w:cs="Arial"/>
          <w:noProof/>
          <w:sz w:val="24"/>
          <w:szCs w:val="24"/>
        </w:rPr>
        <w:t>(18)</w:t>
      </w:r>
      <w:r w:rsidRPr="006C4E2F">
        <w:rPr>
          <w:rFonts w:ascii="Garamond" w:hAnsi="Garamond" w:cs="Arial"/>
          <w:sz w:val="24"/>
          <w:szCs w:val="24"/>
        </w:rPr>
        <w:fldChar w:fldCharType="end"/>
      </w:r>
      <w:r w:rsidRPr="006C4E2F">
        <w:rPr>
          <w:rFonts w:ascii="Garamond" w:hAnsi="Garamond" w:cs="Arial"/>
          <w:sz w:val="24"/>
          <w:szCs w:val="24"/>
        </w:rPr>
        <w:t>.</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 xml:space="preserve">Os escolares com o estado nutricional eutrófico geralmente devem possuir um desempenho motor dentro do padrão, sendo capaz de realizar qualquer atividade proposta para o mesmo. Nessa perspectiva buscou-se identificar o impacto que o estado nutricional causa sobre a aptidão física. </w:t>
      </w:r>
    </w:p>
    <w:p w:rsidR="00757793" w:rsidRPr="006C4E2F" w:rsidRDefault="00757793" w:rsidP="00757793">
      <w:pPr>
        <w:spacing w:line="480" w:lineRule="auto"/>
        <w:ind w:firstLine="708"/>
        <w:jc w:val="both"/>
        <w:rPr>
          <w:rFonts w:ascii="Garamond" w:hAnsi="Garamond" w:cs="Arial"/>
          <w:sz w:val="24"/>
          <w:szCs w:val="24"/>
        </w:rPr>
      </w:pPr>
      <w:r w:rsidRPr="006C4E2F">
        <w:rPr>
          <w:rFonts w:ascii="Garamond" w:hAnsi="Garamond" w:cs="Arial"/>
          <w:sz w:val="24"/>
          <w:szCs w:val="24"/>
        </w:rPr>
        <w:t>Diante disso, o objetivo deste estudo foi analisar a influência do estado nutricional sobre o desempenho motor de escolares na faixa etária de 12 anos de ambos os sexos.</w:t>
      </w:r>
    </w:p>
    <w:p w:rsidR="00757793" w:rsidRPr="006C4E2F" w:rsidRDefault="00757793" w:rsidP="00757793">
      <w:pPr>
        <w:spacing w:line="480" w:lineRule="auto"/>
        <w:ind w:firstLine="708"/>
        <w:jc w:val="both"/>
        <w:rPr>
          <w:rFonts w:ascii="Garamond" w:hAnsi="Garamond" w:cs="Arial"/>
          <w:sz w:val="24"/>
          <w:szCs w:val="24"/>
        </w:rPr>
      </w:pPr>
    </w:p>
    <w:p w:rsidR="00F53E49" w:rsidRPr="006C4E2F" w:rsidRDefault="00757793" w:rsidP="00F53E49">
      <w:pPr>
        <w:spacing w:line="480" w:lineRule="auto"/>
        <w:jc w:val="both"/>
        <w:rPr>
          <w:rFonts w:ascii="Garamond" w:hAnsi="Garamond" w:cs="Times New Roman"/>
          <w:b/>
          <w:sz w:val="24"/>
          <w:szCs w:val="24"/>
        </w:rPr>
      </w:pPr>
      <w:r w:rsidRPr="006C4E2F">
        <w:rPr>
          <w:rFonts w:ascii="Garamond" w:hAnsi="Garamond" w:cs="Times New Roman"/>
          <w:b/>
          <w:sz w:val="24"/>
          <w:szCs w:val="24"/>
        </w:rPr>
        <w:t xml:space="preserve">MATERIAIS E MÉTODOS </w:t>
      </w:r>
    </w:p>
    <w:p w:rsidR="00757793" w:rsidRPr="006C4E2F" w:rsidRDefault="00757793" w:rsidP="00F53E49">
      <w:pPr>
        <w:spacing w:line="480" w:lineRule="auto"/>
        <w:jc w:val="both"/>
        <w:rPr>
          <w:rFonts w:ascii="Garamond" w:hAnsi="Garamond" w:cs="Times New Roman"/>
          <w:sz w:val="24"/>
          <w:szCs w:val="24"/>
        </w:rPr>
      </w:pPr>
      <w:r w:rsidRPr="006C4E2F">
        <w:rPr>
          <w:rFonts w:ascii="Garamond" w:hAnsi="Garamond" w:cs="Times New Roman"/>
          <w:b/>
          <w:sz w:val="24"/>
          <w:szCs w:val="24"/>
        </w:rPr>
        <w:t>Delineamento experimental</w:t>
      </w:r>
      <w:r w:rsidRPr="006C4E2F">
        <w:rPr>
          <w:rFonts w:ascii="Garamond" w:hAnsi="Garamond" w:cs="Times New Roman"/>
          <w:sz w:val="24"/>
          <w:szCs w:val="24"/>
        </w:rPr>
        <w:t xml:space="preserve"> </w:t>
      </w:r>
    </w:p>
    <w:p w:rsidR="00757793" w:rsidRPr="006C4E2F" w:rsidRDefault="00757793" w:rsidP="00F53E49">
      <w:pPr>
        <w:spacing w:line="480" w:lineRule="auto"/>
        <w:ind w:firstLine="708"/>
        <w:jc w:val="both"/>
        <w:rPr>
          <w:rFonts w:ascii="Garamond" w:hAnsi="Garamond" w:cs="Times New Roman"/>
          <w:sz w:val="24"/>
          <w:szCs w:val="24"/>
        </w:rPr>
      </w:pPr>
      <w:r w:rsidRPr="006C4E2F">
        <w:rPr>
          <w:rFonts w:ascii="Garamond" w:hAnsi="Garamond" w:cs="Times New Roman"/>
          <w:sz w:val="24"/>
          <w:szCs w:val="24"/>
        </w:rPr>
        <w:t>Esta pesquisa está caracterizada como do tipo descritiva/exploratória, pois tem por objetivo demarcar as características ou delinear o perfil de determinado grupo ou população</w:t>
      </w:r>
      <w:r w:rsidRPr="006C4E2F">
        <w:rPr>
          <w:rFonts w:ascii="Garamond" w:hAnsi="Garamond" w:cs="Times New Roman"/>
          <w:sz w:val="24"/>
          <w:szCs w:val="24"/>
        </w:rPr>
        <w:fldChar w:fldCharType="begin" w:fldLock="1"/>
      </w:r>
      <w:r w:rsidRPr="006C4E2F">
        <w:rPr>
          <w:rFonts w:ascii="Garamond" w:hAnsi="Garamond" w:cs="Times New Roman"/>
          <w:sz w:val="24"/>
          <w:szCs w:val="24"/>
        </w:rPr>
        <w:instrText>ADDIN CSL_CITATION { "citationItems" : [ { "id" : "ITEM-1", "itemData" : { "author" : [ { "dropping-particle" : "", "family" : "Gaya", "given" : "Adroaldo Cezar Araujo", "non-dropping-particle" : "", "parse-names" : false, "suffix" : "" } ], "editor" : [ { "dropping-particle" : "", "family" : "Brasil", "given" : "Reitoria da Universidade do Porto e Associa\u00e7\u00e3o para Amizadee Coopera\u00e7\u00e3o Portugal", "non-dropping-particle" : "", "parse-names" : false, "suffix" : "" } ], "id" : "ITEM-1", "issued" : { "date-parts" : [ [ "1994" ] ] }, "number-of-pages" : "190", "publisher-place" : "Porto", "title" : "As ci\u00eancias do desporto nos pa\u00edses de l\u00edngua portuguesa: Uma abrodagem epistemol\u00f3gica", "type" : "book" }, "uris" : [ "http://www.mendeley.com/documents/?uuid=8ce893b8-f332-4bab-aa34-67756117e8cd" ] } ], "mendeley" : { "formattedCitation" : "(19)", "plainTextFormattedCitation" : "(19)", "previouslyFormattedCitation" : "(19)" }, "properties" : {  }, "schema" : "https://github.com/citation-style-language/schema/raw/master/csl-citation.json" }</w:instrText>
      </w:r>
      <w:r w:rsidRPr="006C4E2F">
        <w:rPr>
          <w:rFonts w:ascii="Garamond" w:hAnsi="Garamond" w:cs="Times New Roman"/>
          <w:sz w:val="24"/>
          <w:szCs w:val="24"/>
        </w:rPr>
        <w:fldChar w:fldCharType="separate"/>
      </w:r>
      <w:r w:rsidRPr="006C4E2F">
        <w:rPr>
          <w:rFonts w:ascii="Garamond" w:hAnsi="Garamond" w:cs="Times New Roman"/>
          <w:noProof/>
          <w:sz w:val="24"/>
          <w:szCs w:val="24"/>
        </w:rPr>
        <w:t>(19)</w:t>
      </w:r>
      <w:r w:rsidRPr="006C4E2F">
        <w:rPr>
          <w:rFonts w:ascii="Garamond" w:hAnsi="Garamond" w:cs="Times New Roman"/>
          <w:sz w:val="24"/>
          <w:szCs w:val="24"/>
        </w:rPr>
        <w:fldChar w:fldCharType="end"/>
      </w:r>
      <w:r w:rsidRPr="006C4E2F">
        <w:rPr>
          <w:rFonts w:ascii="Garamond" w:hAnsi="Garamond" w:cs="Times New Roman"/>
          <w:sz w:val="24"/>
          <w:szCs w:val="24"/>
        </w:rPr>
        <w:t>.</w:t>
      </w:r>
    </w:p>
    <w:p w:rsidR="00757793" w:rsidRPr="006C4E2F" w:rsidRDefault="00757793" w:rsidP="00757793">
      <w:pPr>
        <w:spacing w:line="480" w:lineRule="auto"/>
        <w:jc w:val="both"/>
        <w:rPr>
          <w:rFonts w:ascii="Garamond" w:hAnsi="Garamond" w:cs="Times New Roman"/>
          <w:b/>
          <w:sz w:val="24"/>
          <w:szCs w:val="24"/>
        </w:rPr>
      </w:pPr>
      <w:r w:rsidRPr="006C4E2F">
        <w:rPr>
          <w:rFonts w:ascii="Garamond" w:hAnsi="Garamond" w:cs="Times New Roman"/>
          <w:b/>
          <w:sz w:val="24"/>
          <w:szCs w:val="24"/>
        </w:rPr>
        <w:t>Amostra</w:t>
      </w:r>
    </w:p>
    <w:p w:rsidR="00757793" w:rsidRPr="006C4E2F" w:rsidRDefault="00757793" w:rsidP="00757793">
      <w:pPr>
        <w:shd w:val="clear" w:color="auto" w:fill="FFFFFF"/>
        <w:spacing w:before="100" w:beforeAutospacing="1" w:after="100" w:afterAutospacing="1" w:line="480" w:lineRule="auto"/>
        <w:ind w:firstLine="708"/>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 xml:space="preserve">A amostra foi constituída por 494 escolares na faixa etária de 12 anos de idade regularmente matriculados na rede pública de Manaus, sendo 321 do sexo masculino e 173 do sexo feminino. </w:t>
      </w:r>
    </w:p>
    <w:p w:rsidR="00F53E49" w:rsidRPr="006C4E2F" w:rsidRDefault="00F53E49" w:rsidP="00757793">
      <w:pPr>
        <w:shd w:val="clear" w:color="auto" w:fill="FFFFFF"/>
        <w:spacing w:before="100" w:beforeAutospacing="1" w:after="100" w:afterAutospacing="1" w:line="480" w:lineRule="auto"/>
        <w:ind w:firstLine="708"/>
        <w:jc w:val="both"/>
        <w:rPr>
          <w:rFonts w:ascii="Garamond" w:eastAsia="Times New Roman" w:hAnsi="Garamond" w:cs="Times New Roman"/>
          <w:sz w:val="24"/>
          <w:szCs w:val="24"/>
          <w:lang w:eastAsia="pt-BR"/>
        </w:rPr>
      </w:pP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b/>
          <w:color w:val="222222"/>
          <w:sz w:val="24"/>
          <w:szCs w:val="24"/>
          <w:lang w:eastAsia="pt-BR"/>
        </w:rPr>
      </w:pPr>
      <w:r w:rsidRPr="006C4E2F">
        <w:rPr>
          <w:rFonts w:ascii="Garamond" w:eastAsia="Times New Roman" w:hAnsi="Garamond" w:cs="Times New Roman"/>
          <w:b/>
          <w:color w:val="222222"/>
          <w:sz w:val="24"/>
          <w:szCs w:val="24"/>
          <w:lang w:eastAsia="pt-BR"/>
        </w:rPr>
        <w:lastRenderedPageBreak/>
        <w:t xml:space="preserve">Variáveis do estudo </w:t>
      </w: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 xml:space="preserve">Medidas antropométricas </w:t>
      </w:r>
    </w:p>
    <w:p w:rsidR="00757793" w:rsidRPr="006C4E2F" w:rsidRDefault="00757793" w:rsidP="00757793">
      <w:pPr>
        <w:shd w:val="clear" w:color="auto" w:fill="FFFFFF"/>
        <w:spacing w:before="100" w:beforeAutospacing="1" w:after="100" w:afterAutospacing="1" w:line="480" w:lineRule="auto"/>
        <w:ind w:firstLine="708"/>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Para determinação das medidas de peso corporal e estatura o utilizou-se como padrão a descrição feita por Petroski (2011)</w:t>
      </w:r>
      <w:r w:rsidRPr="006C4E2F">
        <w:rPr>
          <w:rFonts w:ascii="Garamond" w:eastAsia="Times New Roman" w:hAnsi="Garamond" w:cs="Times New Roman"/>
          <w:color w:val="222222"/>
          <w:sz w:val="24"/>
          <w:szCs w:val="24"/>
          <w:lang w:eastAsia="pt-BR"/>
        </w:rPr>
        <w:fldChar w:fldCharType="begin" w:fldLock="1"/>
      </w:r>
      <w:r w:rsidRPr="006C4E2F">
        <w:rPr>
          <w:rFonts w:ascii="Garamond" w:eastAsia="Times New Roman" w:hAnsi="Garamond" w:cs="Times New Roman"/>
          <w:color w:val="222222"/>
          <w:sz w:val="24"/>
          <w:szCs w:val="24"/>
          <w:lang w:eastAsia="pt-BR"/>
        </w:rPr>
        <w:instrText>ADDIN CSL_CITATION { "citationItems" : [ { "id" : "ITEM-1", "itemData" : { "author" : [ { "dropping-particle" : "", "family" : "Petroski", "given" : "Edio Luiz", "non-dropping-particle" : "", "parse-names" : false, "suffix" : "" } ], "edition" : "5\u00ba", "editor" : [ { "dropping-particle" : "", "family" : "Fontoura", "given" : "", "non-dropping-particle" : "", "parse-names" : false, "suffix" : "" } ], "id" : "ITEM-1", "issued" : { "date-parts" : [ [ "0" ] ] }, "number-of-pages" : "208", "publisher-place" : "V\u00e1rzea Paulo - S\u00e3o Paulo", "title" : "Antropometria t\u00e9cnicas e padroniza\u00e7\u00f5es", "type" : "book" }, "uris" : [ "http://www.mendeley.com/documents/?uuid=0203a85b-8755-4582-95b9-bcb1ab44eceb" ] } ], "mendeley" : { "formattedCitation" : "(20)", "plainTextFormattedCitation" : "(20)", "previouslyFormattedCitation" : "(20)" }, "properties" : {  }, "schema" : "https://github.com/citation-style-language/schema/raw/master/csl-citation.json" }</w:instrText>
      </w:r>
      <w:r w:rsidRPr="006C4E2F">
        <w:rPr>
          <w:rFonts w:ascii="Garamond" w:eastAsia="Times New Roman" w:hAnsi="Garamond" w:cs="Times New Roman"/>
          <w:color w:val="222222"/>
          <w:sz w:val="24"/>
          <w:szCs w:val="24"/>
          <w:lang w:eastAsia="pt-BR"/>
        </w:rPr>
        <w:fldChar w:fldCharType="separate"/>
      </w:r>
      <w:r w:rsidRPr="006C4E2F">
        <w:rPr>
          <w:rFonts w:ascii="Garamond" w:eastAsia="Times New Roman" w:hAnsi="Garamond" w:cs="Times New Roman"/>
          <w:noProof/>
          <w:color w:val="222222"/>
          <w:sz w:val="24"/>
          <w:szCs w:val="24"/>
          <w:lang w:eastAsia="pt-BR"/>
        </w:rPr>
        <w:t>(20)</w:t>
      </w:r>
      <w:r w:rsidRPr="006C4E2F">
        <w:rPr>
          <w:rFonts w:ascii="Garamond" w:eastAsia="Times New Roman" w:hAnsi="Garamond" w:cs="Times New Roman"/>
          <w:color w:val="222222"/>
          <w:sz w:val="24"/>
          <w:szCs w:val="24"/>
          <w:lang w:eastAsia="pt-BR"/>
        </w:rPr>
        <w:fldChar w:fldCharType="end"/>
      </w:r>
      <w:r w:rsidRPr="006C4E2F">
        <w:rPr>
          <w:rFonts w:ascii="Garamond" w:eastAsia="Times New Roman" w:hAnsi="Garamond" w:cs="Times New Roman"/>
          <w:color w:val="222222"/>
          <w:sz w:val="24"/>
          <w:szCs w:val="24"/>
          <w:lang w:eastAsia="pt-BR"/>
        </w:rPr>
        <w:t>.</w:t>
      </w: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 xml:space="preserve">Estado nutricional </w:t>
      </w:r>
    </w:p>
    <w:p w:rsidR="00757793" w:rsidRPr="006C4E2F" w:rsidRDefault="00757793" w:rsidP="00757793">
      <w:pPr>
        <w:shd w:val="clear" w:color="auto" w:fill="FFFFFF"/>
        <w:spacing w:before="100" w:beforeAutospacing="1" w:after="100" w:afterAutospacing="1" w:line="480" w:lineRule="auto"/>
        <w:ind w:firstLine="708"/>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Para determinação do estado nutricional utilizou-se o Indice de Massa Corporal (IMC), conforme descrito por Petroski (2011) e a classificação conforme a Organização Mundial de Saúde (OMS).</w:t>
      </w: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Testes de desempenho motor</w:t>
      </w: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ab/>
        <w:t>Os testes utilizados no presente estudo foram sentar e alcançar, abdominal modificado e salto horizontal descritos conforme o manual do Projeto Esporte Brasil (PROESP-BR 2007).</w:t>
      </w:r>
    </w:p>
    <w:p w:rsidR="00F47A9E" w:rsidRPr="006C4E2F" w:rsidRDefault="00F47A9E"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b/>
          <w:color w:val="222222"/>
          <w:sz w:val="24"/>
          <w:szCs w:val="24"/>
          <w:lang w:eastAsia="pt-BR"/>
        </w:rPr>
      </w:pPr>
      <w:r w:rsidRPr="006C4E2F">
        <w:rPr>
          <w:rFonts w:ascii="Garamond" w:eastAsia="Times New Roman" w:hAnsi="Garamond" w:cs="Times New Roman"/>
          <w:b/>
          <w:color w:val="222222"/>
          <w:sz w:val="24"/>
          <w:szCs w:val="24"/>
          <w:lang w:eastAsia="pt-BR"/>
        </w:rPr>
        <w:t xml:space="preserve">ANÁLISE ESTATÍSTICA </w:t>
      </w:r>
    </w:p>
    <w:p w:rsidR="00F47A9E" w:rsidRPr="006C4E2F" w:rsidRDefault="00757793" w:rsidP="00F47A9E">
      <w:pPr>
        <w:shd w:val="clear" w:color="auto" w:fill="FFFFFF"/>
        <w:spacing w:before="100" w:beforeAutospacing="1" w:after="100" w:afterAutospacing="1" w:line="480" w:lineRule="auto"/>
        <w:ind w:firstLine="708"/>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Para análise de dados estatísticos utilizou-se o programa IBM SPSS versão 23.0 onde através dele usamos a estatística descritiva para determinação dos valores de média, desvio padrão, valores mínimos e máximos. Em seguida, o t-test para comparação entre os grupos adotando o nível de significância de p&lt;0,05.</w:t>
      </w:r>
    </w:p>
    <w:p w:rsidR="00F47A9E" w:rsidRPr="006C4E2F" w:rsidRDefault="00F47A9E" w:rsidP="00F47A9E">
      <w:pPr>
        <w:shd w:val="clear" w:color="auto" w:fill="FFFFFF"/>
        <w:spacing w:before="100" w:beforeAutospacing="1" w:after="100" w:afterAutospacing="1" w:line="480" w:lineRule="auto"/>
        <w:ind w:firstLine="708"/>
        <w:jc w:val="both"/>
        <w:rPr>
          <w:rFonts w:ascii="Garamond" w:eastAsia="Times New Roman" w:hAnsi="Garamond" w:cs="Times New Roman"/>
          <w:color w:val="222222"/>
          <w:sz w:val="24"/>
          <w:szCs w:val="24"/>
          <w:lang w:eastAsia="pt-BR"/>
        </w:rPr>
      </w:pPr>
    </w:p>
    <w:p w:rsidR="003B239B" w:rsidRPr="006C4E2F" w:rsidRDefault="003B239B" w:rsidP="00F47A9E">
      <w:pPr>
        <w:shd w:val="clear" w:color="auto" w:fill="FFFFFF"/>
        <w:spacing w:before="100" w:beforeAutospacing="1" w:after="100" w:afterAutospacing="1" w:line="480" w:lineRule="auto"/>
        <w:ind w:firstLine="708"/>
        <w:jc w:val="both"/>
        <w:rPr>
          <w:rFonts w:ascii="Garamond" w:eastAsia="Times New Roman" w:hAnsi="Garamond" w:cs="Times New Roman"/>
          <w:color w:val="222222"/>
          <w:sz w:val="24"/>
          <w:szCs w:val="24"/>
          <w:lang w:eastAsia="pt-BR"/>
        </w:rPr>
      </w:pPr>
    </w:p>
    <w:bookmarkEnd w:id="2"/>
    <w:p w:rsidR="00757793" w:rsidRPr="006C4E2F" w:rsidRDefault="00757793" w:rsidP="00757793">
      <w:pPr>
        <w:spacing w:line="480" w:lineRule="auto"/>
        <w:jc w:val="both"/>
        <w:rPr>
          <w:rFonts w:ascii="Garamond" w:hAnsi="Garamond"/>
          <w:sz w:val="24"/>
          <w:szCs w:val="24"/>
        </w:rPr>
      </w:pPr>
      <w:r w:rsidRPr="006C4E2F">
        <w:rPr>
          <w:rFonts w:ascii="Garamond" w:hAnsi="Garamond"/>
          <w:b/>
          <w:sz w:val="24"/>
          <w:szCs w:val="24"/>
        </w:rPr>
        <w:lastRenderedPageBreak/>
        <w:t xml:space="preserve">RESULTADOS </w:t>
      </w: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 xml:space="preserve">Na </w:t>
      </w:r>
      <w:r w:rsidRPr="006C4E2F">
        <w:rPr>
          <w:rFonts w:ascii="Garamond" w:hAnsi="Garamond"/>
          <w:b/>
          <w:sz w:val="24"/>
          <w:szCs w:val="24"/>
        </w:rPr>
        <w:t>TABELA 1</w:t>
      </w:r>
      <w:r w:rsidRPr="006C4E2F">
        <w:rPr>
          <w:rFonts w:ascii="Garamond" w:hAnsi="Garamond"/>
          <w:sz w:val="24"/>
          <w:szCs w:val="24"/>
        </w:rPr>
        <w:t xml:space="preserve"> estão expostos os resultados das variáveis de peso corporal, estatura e testes de desempenho motor.  Para os escolares do sexo masculino foram obtidos os seguintes resultados:  peso corporal - (39,2 ± 9,5), valores mínimos e máximos de 20,8 e 89,0, estatura - (146,9±8,3) valores mínimos e máximos de 127,9 e 177,4, sentar e alcançar - (23,1±6,8) tendo 0 e 40,9 como valores mínimos e máximos, abdominal modificado - (25,6±8,6) com seus valores mínimos e máximos 0 e 51 e salto horizontal -  (150,5±22,9) no qual seus valores mínimos e máximos foram de 1,0 e 220, respectivamente. Para o sexo feminino os dados obtidos encontrados foram: peso corporal – (40,2±8,0), estatura – (148,3±7,3), sentar e alcançar – (24,7±6,9), abdominal modificado – (21,2±8,3) e salto horizontal -138,1±22,3. E seus valores mínimos e máximos para as variáveis de peso 23,9 e 80,9, estatura 125,3 e 167,7, sentar e alcançar 5,5 e 41,2, abdominal modificado 1 e 45 e salto horizontal 1,5±182,0 respectivamente. </w:t>
      </w:r>
    </w:p>
    <w:p w:rsidR="00757793" w:rsidRPr="006C4E2F" w:rsidRDefault="00757793" w:rsidP="00757793">
      <w:pPr>
        <w:spacing w:line="240" w:lineRule="auto"/>
        <w:jc w:val="both"/>
        <w:rPr>
          <w:rFonts w:ascii="Garamond" w:hAnsi="Garamond"/>
          <w:szCs w:val="24"/>
        </w:rPr>
      </w:pPr>
      <w:bookmarkStart w:id="3" w:name="_Hlk499903232"/>
      <w:r w:rsidRPr="006C4E2F">
        <w:rPr>
          <w:rFonts w:ascii="Garamond" w:hAnsi="Garamond"/>
          <w:b/>
          <w:szCs w:val="24"/>
        </w:rPr>
        <w:t>TABELA 1</w:t>
      </w:r>
      <w:r w:rsidRPr="006C4E2F">
        <w:rPr>
          <w:rFonts w:ascii="Garamond" w:hAnsi="Garamond"/>
          <w:szCs w:val="24"/>
        </w:rPr>
        <w:t xml:space="preserve"> </w:t>
      </w:r>
      <w:r w:rsidRPr="006C4E2F">
        <w:rPr>
          <w:rFonts w:ascii="Garamond" w:hAnsi="Garamond"/>
          <w:b/>
          <w:szCs w:val="24"/>
        </w:rPr>
        <w:t>– Descrição das variáveis de peso, estatura, testes de sentar e alcançar, abdominal modificado e salto horizontal em valores de média, desvio padrão, valores mínimos e máximos relacionado ao sexo.</w:t>
      </w:r>
      <w:r w:rsidRPr="006C4E2F">
        <w:rPr>
          <w:rFonts w:ascii="Garamond" w:hAnsi="Garamond"/>
          <w:szCs w:val="24"/>
        </w:rPr>
        <w:t xml:space="preserve"> </w:t>
      </w:r>
    </w:p>
    <w:tbl>
      <w:tblPr>
        <w:tblW w:w="8622" w:type="dxa"/>
        <w:tblLook w:val="04A0" w:firstRow="1" w:lastRow="0" w:firstColumn="1" w:lastColumn="0" w:noHBand="0" w:noVBand="1"/>
      </w:tblPr>
      <w:tblGrid>
        <w:gridCol w:w="989"/>
        <w:gridCol w:w="1115"/>
        <w:gridCol w:w="864"/>
        <w:gridCol w:w="717"/>
        <w:gridCol w:w="1046"/>
        <w:gridCol w:w="1449"/>
        <w:gridCol w:w="1172"/>
        <w:gridCol w:w="1270"/>
      </w:tblGrid>
      <w:tr w:rsidR="00757793" w:rsidRPr="006C4E2F" w:rsidTr="00D5125D">
        <w:trPr>
          <w:trHeight w:val="227"/>
        </w:trPr>
        <w:tc>
          <w:tcPr>
            <w:tcW w:w="1115" w:type="dxa"/>
            <w:vAlign w:val="center"/>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Sexo</w:t>
            </w:r>
          </w:p>
        </w:tc>
        <w:tc>
          <w:tcPr>
            <w:tcW w:w="1115" w:type="dxa"/>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Idade</w:t>
            </w:r>
          </w:p>
        </w:tc>
        <w:tc>
          <w:tcPr>
            <w:tcW w:w="864" w:type="dxa"/>
            <w:noWrap/>
            <w:vAlign w:val="center"/>
            <w:hideMark/>
          </w:tcPr>
          <w:p w:rsidR="00757793" w:rsidRPr="006C4E2F" w:rsidRDefault="00757793" w:rsidP="00D5125D">
            <w:pPr>
              <w:jc w:val="center"/>
              <w:rPr>
                <w:rFonts w:ascii="Garamond" w:eastAsia="Times New Roman" w:hAnsi="Garamond" w:cs="Calibri"/>
                <w:color w:val="000000"/>
                <w:lang w:eastAsia="pt-BR"/>
              </w:rPr>
            </w:pPr>
          </w:p>
        </w:tc>
        <w:tc>
          <w:tcPr>
            <w:tcW w:w="717" w:type="dxa"/>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Peso (kg)</w:t>
            </w:r>
          </w:p>
        </w:tc>
        <w:tc>
          <w:tcPr>
            <w:tcW w:w="1046" w:type="dxa"/>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Estatura (cm)</w:t>
            </w:r>
          </w:p>
        </w:tc>
        <w:tc>
          <w:tcPr>
            <w:tcW w:w="1449" w:type="dxa"/>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Sentar e Alcançar (cm)</w:t>
            </w:r>
          </w:p>
        </w:tc>
        <w:tc>
          <w:tcPr>
            <w:tcW w:w="1046" w:type="dxa"/>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Abdominal Mod.</w:t>
            </w:r>
          </w:p>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(rep.)</w:t>
            </w:r>
          </w:p>
        </w:tc>
        <w:tc>
          <w:tcPr>
            <w:tcW w:w="1270" w:type="dxa"/>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Salto Horizontal</w:t>
            </w:r>
          </w:p>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(m)</w:t>
            </w:r>
          </w:p>
        </w:tc>
      </w:tr>
      <w:tr w:rsidR="00757793" w:rsidRPr="006C4E2F" w:rsidTr="00D5125D">
        <w:trPr>
          <w:trHeight w:val="254"/>
        </w:trPr>
        <w:tc>
          <w:tcPr>
            <w:tcW w:w="1115" w:type="dxa"/>
            <w:vMerge w:val="restart"/>
            <w:vAlign w:val="center"/>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noProof/>
                <w:color w:val="000000"/>
                <w:lang w:eastAsia="pt-BR"/>
              </w:rPr>
              <w:drawing>
                <wp:anchor distT="0" distB="0" distL="114300" distR="114300" simplePos="0" relativeHeight="251662336" behindDoc="0" locked="0" layoutInCell="1" allowOverlap="1" wp14:anchorId="531B5441" wp14:editId="5A7C35FA">
                  <wp:simplePos x="0" y="0"/>
                  <wp:positionH relativeFrom="column">
                    <wp:posOffset>97790</wp:posOffset>
                  </wp:positionH>
                  <wp:positionV relativeFrom="paragraph">
                    <wp:posOffset>167005</wp:posOffset>
                  </wp:positionV>
                  <wp:extent cx="378460" cy="403225"/>
                  <wp:effectExtent l="0" t="0" r="2540" b="0"/>
                  <wp:wrapNone/>
                  <wp:docPr id="2" name="Imagem 2">
                    <a:extLst xmlns:a="http://schemas.openxmlformats.org/drawingml/2006/main">
                      <a:ext uri="{FF2B5EF4-FFF2-40B4-BE49-F238E27FC236}">
                        <a16:creationId xmlns:a16="http://schemas.microsoft.com/office/drawing/2014/main" id="{49218538-F03F-4A4E-B351-0242EB124DE3}"/>
                      </a:ext>
                    </a:extLst>
                  </wp:docPr>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49218538-F03F-4A4E-B351-0242EB124DE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8460" cy="403225"/>
                          </a:xfrm>
                          <a:prstGeom prst="rect">
                            <a:avLst/>
                          </a:prstGeom>
                        </pic:spPr>
                      </pic:pic>
                    </a:graphicData>
                  </a:graphic>
                  <wp14:sizeRelH relativeFrom="page">
                    <wp14:pctWidth>0</wp14:pctWidth>
                  </wp14:sizeRelH>
                  <wp14:sizeRelV relativeFrom="page">
                    <wp14:pctHeight>0</wp14:pctHeight>
                  </wp14:sizeRelV>
                </wp:anchor>
              </w:drawing>
            </w:r>
          </w:p>
        </w:tc>
        <w:tc>
          <w:tcPr>
            <w:tcW w:w="1115" w:type="dxa"/>
            <w:vMerge w:val="restart"/>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12 anos</w:t>
            </w:r>
          </w:p>
        </w:tc>
        <w:tc>
          <w:tcPr>
            <w:tcW w:w="864" w:type="dxa"/>
            <w:noWrap/>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Média</w:t>
            </w:r>
          </w:p>
        </w:tc>
        <w:tc>
          <w:tcPr>
            <w:tcW w:w="717"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39,2</w:t>
            </w:r>
          </w:p>
        </w:tc>
        <w:tc>
          <w:tcPr>
            <w:tcW w:w="1046"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146,9</w:t>
            </w:r>
          </w:p>
        </w:tc>
        <w:tc>
          <w:tcPr>
            <w:tcW w:w="1449"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23,1</w:t>
            </w:r>
          </w:p>
        </w:tc>
        <w:tc>
          <w:tcPr>
            <w:tcW w:w="1046"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highlight w:val="yellow"/>
                <w:lang w:eastAsia="pt-BR"/>
              </w:rPr>
              <w:t>25,6</w:t>
            </w:r>
          </w:p>
        </w:tc>
        <w:tc>
          <w:tcPr>
            <w:tcW w:w="1270"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highlight w:val="yellow"/>
                <w:lang w:eastAsia="pt-BR"/>
              </w:rPr>
              <w:t>150,5</w:t>
            </w:r>
          </w:p>
        </w:tc>
      </w:tr>
      <w:tr w:rsidR="00757793" w:rsidRPr="006C4E2F" w:rsidTr="00D5125D">
        <w:trPr>
          <w:trHeight w:val="227"/>
        </w:trPr>
        <w:tc>
          <w:tcPr>
            <w:tcW w:w="1115" w:type="dxa"/>
            <w:vMerge/>
          </w:tcPr>
          <w:p w:rsidR="00757793" w:rsidRPr="006C4E2F" w:rsidRDefault="00757793" w:rsidP="00D5125D">
            <w:pPr>
              <w:rPr>
                <w:rFonts w:ascii="Garamond" w:eastAsia="Times New Roman" w:hAnsi="Garamond" w:cs="Calibri"/>
                <w:color w:val="000000"/>
                <w:lang w:eastAsia="pt-BR"/>
              </w:rPr>
            </w:pPr>
          </w:p>
        </w:tc>
        <w:tc>
          <w:tcPr>
            <w:tcW w:w="1115" w:type="dxa"/>
            <w:vMerge/>
            <w:hideMark/>
          </w:tcPr>
          <w:p w:rsidR="00757793" w:rsidRPr="006C4E2F" w:rsidRDefault="00757793" w:rsidP="00D5125D">
            <w:pPr>
              <w:rPr>
                <w:rFonts w:ascii="Garamond" w:eastAsia="Times New Roman" w:hAnsi="Garamond" w:cs="Calibri"/>
                <w:color w:val="000000"/>
                <w:lang w:eastAsia="pt-BR"/>
              </w:rPr>
            </w:pPr>
          </w:p>
        </w:tc>
        <w:tc>
          <w:tcPr>
            <w:tcW w:w="864" w:type="dxa"/>
            <w:tcBorders>
              <w:top w:val="single" w:sz="4" w:space="0" w:color="7F7F7F" w:themeColor="text1" w:themeTint="80"/>
            </w:tcBorders>
            <w:noWrap/>
            <w:hideMark/>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 xml:space="preserve">D. P. </w:t>
            </w:r>
          </w:p>
        </w:tc>
        <w:tc>
          <w:tcPr>
            <w:tcW w:w="717" w:type="dxa"/>
            <w:tcBorders>
              <w:top w:val="single" w:sz="4" w:space="0" w:color="7F7F7F" w:themeColor="text1" w:themeTint="80"/>
            </w:tcBorders>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9,5</w:t>
            </w:r>
          </w:p>
        </w:tc>
        <w:tc>
          <w:tcPr>
            <w:tcW w:w="1046" w:type="dxa"/>
            <w:tcBorders>
              <w:top w:val="single" w:sz="4" w:space="0" w:color="7F7F7F" w:themeColor="text1" w:themeTint="80"/>
            </w:tcBorders>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8,3</w:t>
            </w:r>
          </w:p>
        </w:tc>
        <w:tc>
          <w:tcPr>
            <w:tcW w:w="1449" w:type="dxa"/>
            <w:tcBorders>
              <w:top w:val="single" w:sz="4" w:space="0" w:color="7F7F7F" w:themeColor="text1" w:themeTint="80"/>
            </w:tcBorders>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6,8</w:t>
            </w:r>
          </w:p>
        </w:tc>
        <w:tc>
          <w:tcPr>
            <w:tcW w:w="1046" w:type="dxa"/>
            <w:tcBorders>
              <w:top w:val="single" w:sz="4" w:space="0" w:color="7F7F7F" w:themeColor="text1" w:themeTint="80"/>
            </w:tcBorders>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8,6</w:t>
            </w:r>
          </w:p>
        </w:tc>
        <w:tc>
          <w:tcPr>
            <w:tcW w:w="1270" w:type="dxa"/>
            <w:tcBorders>
              <w:top w:val="single" w:sz="4" w:space="0" w:color="7F7F7F" w:themeColor="text1" w:themeTint="80"/>
            </w:tcBorders>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22,9</w:t>
            </w:r>
          </w:p>
        </w:tc>
      </w:tr>
      <w:tr w:rsidR="00757793" w:rsidRPr="006C4E2F" w:rsidTr="00D5125D">
        <w:trPr>
          <w:trHeight w:val="227"/>
        </w:trPr>
        <w:tc>
          <w:tcPr>
            <w:tcW w:w="1115" w:type="dxa"/>
            <w:vMerge/>
          </w:tcPr>
          <w:p w:rsidR="00757793" w:rsidRPr="006C4E2F" w:rsidRDefault="00757793" w:rsidP="00D5125D">
            <w:pPr>
              <w:rPr>
                <w:rFonts w:ascii="Garamond" w:eastAsia="Times New Roman" w:hAnsi="Garamond" w:cs="Calibri"/>
                <w:color w:val="000000"/>
                <w:lang w:eastAsia="pt-BR"/>
              </w:rPr>
            </w:pPr>
          </w:p>
        </w:tc>
        <w:tc>
          <w:tcPr>
            <w:tcW w:w="1115" w:type="dxa"/>
            <w:vMerge/>
            <w:hideMark/>
          </w:tcPr>
          <w:p w:rsidR="00757793" w:rsidRPr="006C4E2F" w:rsidRDefault="00757793" w:rsidP="00D5125D">
            <w:pPr>
              <w:rPr>
                <w:rFonts w:ascii="Garamond" w:eastAsia="Times New Roman" w:hAnsi="Garamond" w:cs="Calibri"/>
                <w:color w:val="000000"/>
                <w:lang w:eastAsia="pt-BR"/>
              </w:rPr>
            </w:pPr>
          </w:p>
        </w:tc>
        <w:tc>
          <w:tcPr>
            <w:tcW w:w="864" w:type="dxa"/>
            <w:noWrap/>
            <w:hideMark/>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Mín.</w:t>
            </w:r>
          </w:p>
        </w:tc>
        <w:tc>
          <w:tcPr>
            <w:tcW w:w="717"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20,8</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127,9</w:t>
            </w:r>
          </w:p>
        </w:tc>
        <w:tc>
          <w:tcPr>
            <w:tcW w:w="1449"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0</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0</w:t>
            </w:r>
          </w:p>
        </w:tc>
        <w:tc>
          <w:tcPr>
            <w:tcW w:w="1270"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1,0</w:t>
            </w:r>
          </w:p>
        </w:tc>
      </w:tr>
      <w:tr w:rsidR="00757793" w:rsidRPr="006C4E2F" w:rsidTr="00D5125D">
        <w:trPr>
          <w:trHeight w:val="125"/>
        </w:trPr>
        <w:tc>
          <w:tcPr>
            <w:tcW w:w="1115" w:type="dxa"/>
            <w:vMerge/>
          </w:tcPr>
          <w:p w:rsidR="00757793" w:rsidRPr="006C4E2F" w:rsidRDefault="00757793" w:rsidP="00D5125D">
            <w:pPr>
              <w:rPr>
                <w:rFonts w:ascii="Garamond" w:eastAsia="Times New Roman" w:hAnsi="Garamond" w:cs="Calibri"/>
                <w:color w:val="000000"/>
                <w:lang w:eastAsia="pt-BR"/>
              </w:rPr>
            </w:pPr>
          </w:p>
        </w:tc>
        <w:tc>
          <w:tcPr>
            <w:tcW w:w="1115" w:type="dxa"/>
            <w:vMerge/>
            <w:hideMark/>
          </w:tcPr>
          <w:p w:rsidR="00757793" w:rsidRPr="006C4E2F" w:rsidRDefault="00757793" w:rsidP="00D5125D">
            <w:pPr>
              <w:rPr>
                <w:rFonts w:ascii="Garamond" w:eastAsia="Times New Roman" w:hAnsi="Garamond" w:cs="Calibri"/>
                <w:color w:val="000000"/>
                <w:lang w:eastAsia="pt-BR"/>
              </w:rPr>
            </w:pPr>
          </w:p>
        </w:tc>
        <w:tc>
          <w:tcPr>
            <w:tcW w:w="864" w:type="dxa"/>
            <w:noWrap/>
            <w:hideMark/>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 xml:space="preserve">Máx. </w:t>
            </w:r>
          </w:p>
        </w:tc>
        <w:tc>
          <w:tcPr>
            <w:tcW w:w="717"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89,0</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177,4</w:t>
            </w:r>
          </w:p>
        </w:tc>
        <w:tc>
          <w:tcPr>
            <w:tcW w:w="1449"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40,9</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51</w:t>
            </w:r>
          </w:p>
        </w:tc>
        <w:tc>
          <w:tcPr>
            <w:tcW w:w="1270"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220,0</w:t>
            </w:r>
          </w:p>
        </w:tc>
      </w:tr>
      <w:tr w:rsidR="00757793" w:rsidRPr="006C4E2F" w:rsidTr="00D5125D">
        <w:trPr>
          <w:trHeight w:val="61"/>
        </w:trPr>
        <w:tc>
          <w:tcPr>
            <w:tcW w:w="1115" w:type="dxa"/>
            <w:vMerge w:val="restart"/>
            <w:vAlign w:val="center"/>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noProof/>
                <w:color w:val="000000"/>
                <w:lang w:eastAsia="pt-BR"/>
              </w:rPr>
              <w:drawing>
                <wp:anchor distT="0" distB="0" distL="114300" distR="114300" simplePos="0" relativeHeight="251661312" behindDoc="0" locked="0" layoutInCell="1" allowOverlap="1" wp14:anchorId="6A2F9507" wp14:editId="3E752C3F">
                  <wp:simplePos x="0" y="0"/>
                  <wp:positionH relativeFrom="column">
                    <wp:posOffset>111674</wp:posOffset>
                  </wp:positionH>
                  <wp:positionV relativeFrom="paragraph">
                    <wp:posOffset>139511</wp:posOffset>
                  </wp:positionV>
                  <wp:extent cx="370703" cy="362465"/>
                  <wp:effectExtent l="0" t="0" r="0" b="0"/>
                  <wp:wrapNone/>
                  <wp:docPr id="1" name="Imagem 1">
                    <a:extLst xmlns:a="http://schemas.openxmlformats.org/drawingml/2006/main">
                      <a:ext uri="{FF2B5EF4-FFF2-40B4-BE49-F238E27FC236}">
                        <a16:creationId xmlns:a16="http://schemas.microsoft.com/office/drawing/2014/main" id="{FC235229-FBB4-4519-83CC-BA5EC6B01B48}"/>
                      </a:ext>
                    </a:extLst>
                  </wp:docPr>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FC235229-FBB4-4519-83CC-BA5EC6B01B4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652" cy="365348"/>
                          </a:xfrm>
                          <a:prstGeom prst="rect">
                            <a:avLst/>
                          </a:prstGeom>
                        </pic:spPr>
                      </pic:pic>
                    </a:graphicData>
                  </a:graphic>
                  <wp14:sizeRelH relativeFrom="page">
                    <wp14:pctWidth>0</wp14:pctWidth>
                  </wp14:sizeRelH>
                  <wp14:sizeRelV relativeFrom="page">
                    <wp14:pctHeight>0</wp14:pctHeight>
                  </wp14:sizeRelV>
                </wp:anchor>
              </w:drawing>
            </w:r>
          </w:p>
        </w:tc>
        <w:tc>
          <w:tcPr>
            <w:tcW w:w="1115" w:type="dxa"/>
            <w:vMerge w:val="restart"/>
            <w:noWrap/>
            <w:vAlign w:val="center"/>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12 anos</w:t>
            </w:r>
          </w:p>
        </w:tc>
        <w:tc>
          <w:tcPr>
            <w:tcW w:w="864" w:type="dxa"/>
            <w:noWrap/>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Média</w:t>
            </w:r>
          </w:p>
        </w:tc>
        <w:tc>
          <w:tcPr>
            <w:tcW w:w="717"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highlight w:val="yellow"/>
                <w:lang w:eastAsia="pt-BR"/>
              </w:rPr>
              <w:t>40,2</w:t>
            </w:r>
          </w:p>
        </w:tc>
        <w:tc>
          <w:tcPr>
            <w:tcW w:w="1046"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highlight w:val="yellow"/>
                <w:lang w:eastAsia="pt-BR"/>
              </w:rPr>
              <w:t>148,3</w:t>
            </w:r>
          </w:p>
        </w:tc>
        <w:tc>
          <w:tcPr>
            <w:tcW w:w="1449"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highlight w:val="yellow"/>
                <w:lang w:eastAsia="pt-BR"/>
              </w:rPr>
              <w:t>24,7</w:t>
            </w:r>
          </w:p>
        </w:tc>
        <w:tc>
          <w:tcPr>
            <w:tcW w:w="1046"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21,1</w:t>
            </w:r>
          </w:p>
        </w:tc>
        <w:tc>
          <w:tcPr>
            <w:tcW w:w="1270" w:type="dxa"/>
            <w:noWrap/>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138,1</w:t>
            </w:r>
          </w:p>
        </w:tc>
      </w:tr>
      <w:tr w:rsidR="00757793" w:rsidRPr="006C4E2F" w:rsidTr="00D5125D">
        <w:trPr>
          <w:trHeight w:val="227"/>
        </w:trPr>
        <w:tc>
          <w:tcPr>
            <w:tcW w:w="1115" w:type="dxa"/>
            <w:vMerge/>
          </w:tcPr>
          <w:p w:rsidR="00757793" w:rsidRPr="006C4E2F" w:rsidRDefault="00757793" w:rsidP="00D5125D">
            <w:pPr>
              <w:rPr>
                <w:rFonts w:ascii="Garamond" w:eastAsia="Times New Roman" w:hAnsi="Garamond" w:cs="Calibri"/>
                <w:color w:val="000000"/>
                <w:lang w:eastAsia="pt-BR"/>
              </w:rPr>
            </w:pPr>
          </w:p>
        </w:tc>
        <w:tc>
          <w:tcPr>
            <w:tcW w:w="1115" w:type="dxa"/>
            <w:vMerge/>
            <w:hideMark/>
          </w:tcPr>
          <w:p w:rsidR="00757793" w:rsidRPr="006C4E2F" w:rsidRDefault="00757793" w:rsidP="00D5125D">
            <w:pPr>
              <w:rPr>
                <w:rFonts w:ascii="Garamond" w:eastAsia="Times New Roman" w:hAnsi="Garamond" w:cs="Calibri"/>
                <w:color w:val="000000"/>
                <w:lang w:eastAsia="pt-BR"/>
              </w:rPr>
            </w:pPr>
          </w:p>
        </w:tc>
        <w:tc>
          <w:tcPr>
            <w:tcW w:w="864" w:type="dxa"/>
            <w:noWrap/>
            <w:hideMark/>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 xml:space="preserve">D. P. </w:t>
            </w:r>
          </w:p>
        </w:tc>
        <w:tc>
          <w:tcPr>
            <w:tcW w:w="717"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8,0</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7,3</w:t>
            </w:r>
          </w:p>
        </w:tc>
        <w:tc>
          <w:tcPr>
            <w:tcW w:w="1449"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6,9</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8,3</w:t>
            </w:r>
          </w:p>
        </w:tc>
        <w:tc>
          <w:tcPr>
            <w:tcW w:w="1270"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22,3</w:t>
            </w:r>
          </w:p>
        </w:tc>
      </w:tr>
      <w:tr w:rsidR="00757793" w:rsidRPr="006C4E2F" w:rsidTr="00D5125D">
        <w:trPr>
          <w:trHeight w:val="227"/>
        </w:trPr>
        <w:tc>
          <w:tcPr>
            <w:tcW w:w="1115" w:type="dxa"/>
            <w:vMerge/>
          </w:tcPr>
          <w:p w:rsidR="00757793" w:rsidRPr="006C4E2F" w:rsidRDefault="00757793" w:rsidP="00D5125D">
            <w:pPr>
              <w:rPr>
                <w:rFonts w:ascii="Garamond" w:eastAsia="Times New Roman" w:hAnsi="Garamond" w:cs="Calibri"/>
                <w:color w:val="000000"/>
                <w:lang w:eastAsia="pt-BR"/>
              </w:rPr>
            </w:pPr>
          </w:p>
        </w:tc>
        <w:tc>
          <w:tcPr>
            <w:tcW w:w="1115" w:type="dxa"/>
            <w:vMerge/>
            <w:hideMark/>
          </w:tcPr>
          <w:p w:rsidR="00757793" w:rsidRPr="006C4E2F" w:rsidRDefault="00757793" w:rsidP="00D5125D">
            <w:pPr>
              <w:rPr>
                <w:rFonts w:ascii="Garamond" w:eastAsia="Times New Roman" w:hAnsi="Garamond" w:cs="Calibri"/>
                <w:color w:val="000000"/>
                <w:lang w:eastAsia="pt-BR"/>
              </w:rPr>
            </w:pPr>
          </w:p>
        </w:tc>
        <w:tc>
          <w:tcPr>
            <w:tcW w:w="864" w:type="dxa"/>
            <w:noWrap/>
            <w:hideMark/>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Mín.</w:t>
            </w:r>
          </w:p>
        </w:tc>
        <w:tc>
          <w:tcPr>
            <w:tcW w:w="717"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23,9</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125,3</w:t>
            </w:r>
          </w:p>
        </w:tc>
        <w:tc>
          <w:tcPr>
            <w:tcW w:w="1449"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5,5</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w:t>
            </w:r>
          </w:p>
        </w:tc>
        <w:tc>
          <w:tcPr>
            <w:tcW w:w="1270"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1,5</w:t>
            </w:r>
          </w:p>
        </w:tc>
      </w:tr>
      <w:tr w:rsidR="00757793" w:rsidRPr="006C4E2F" w:rsidTr="00D5125D">
        <w:trPr>
          <w:trHeight w:val="227"/>
        </w:trPr>
        <w:tc>
          <w:tcPr>
            <w:tcW w:w="1115" w:type="dxa"/>
            <w:vMerge/>
          </w:tcPr>
          <w:p w:rsidR="00757793" w:rsidRPr="006C4E2F" w:rsidRDefault="00757793" w:rsidP="00D5125D">
            <w:pPr>
              <w:rPr>
                <w:rFonts w:ascii="Garamond" w:eastAsia="Times New Roman" w:hAnsi="Garamond" w:cs="Calibri"/>
                <w:color w:val="000000"/>
                <w:lang w:eastAsia="pt-BR"/>
              </w:rPr>
            </w:pPr>
          </w:p>
        </w:tc>
        <w:tc>
          <w:tcPr>
            <w:tcW w:w="1115" w:type="dxa"/>
            <w:vMerge/>
            <w:hideMark/>
          </w:tcPr>
          <w:p w:rsidR="00757793" w:rsidRPr="006C4E2F" w:rsidRDefault="00757793" w:rsidP="00D5125D">
            <w:pPr>
              <w:rPr>
                <w:rFonts w:ascii="Garamond" w:eastAsia="Times New Roman" w:hAnsi="Garamond" w:cs="Calibri"/>
                <w:color w:val="000000"/>
                <w:lang w:eastAsia="pt-BR"/>
              </w:rPr>
            </w:pPr>
          </w:p>
        </w:tc>
        <w:tc>
          <w:tcPr>
            <w:tcW w:w="864" w:type="dxa"/>
            <w:noWrap/>
            <w:hideMark/>
          </w:tcPr>
          <w:p w:rsidR="00757793" w:rsidRPr="006C4E2F" w:rsidRDefault="00757793" w:rsidP="00D5125D">
            <w:pPr>
              <w:rPr>
                <w:rFonts w:ascii="Garamond" w:eastAsia="Times New Roman" w:hAnsi="Garamond" w:cs="Calibri"/>
                <w:color w:val="000000"/>
                <w:lang w:eastAsia="pt-BR"/>
              </w:rPr>
            </w:pPr>
            <w:r w:rsidRPr="006C4E2F">
              <w:rPr>
                <w:rFonts w:ascii="Garamond" w:eastAsia="Times New Roman" w:hAnsi="Garamond" w:cs="Calibri"/>
                <w:color w:val="000000"/>
                <w:lang w:eastAsia="pt-BR"/>
              </w:rPr>
              <w:t xml:space="preserve">Máx. </w:t>
            </w:r>
          </w:p>
        </w:tc>
        <w:tc>
          <w:tcPr>
            <w:tcW w:w="717"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80,9</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167,7</w:t>
            </w:r>
          </w:p>
        </w:tc>
        <w:tc>
          <w:tcPr>
            <w:tcW w:w="1449"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41,2</w:t>
            </w:r>
          </w:p>
        </w:tc>
        <w:tc>
          <w:tcPr>
            <w:tcW w:w="1046"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45</w:t>
            </w:r>
          </w:p>
        </w:tc>
        <w:tc>
          <w:tcPr>
            <w:tcW w:w="1270" w:type="dxa"/>
            <w:noWrap/>
            <w:hideMark/>
          </w:tcPr>
          <w:p w:rsidR="00757793" w:rsidRPr="006C4E2F" w:rsidRDefault="00757793" w:rsidP="00D5125D">
            <w:pPr>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182,0</w:t>
            </w:r>
          </w:p>
        </w:tc>
      </w:tr>
      <w:bookmarkEnd w:id="3"/>
    </w:tbl>
    <w:p w:rsidR="00757793" w:rsidRPr="006C4E2F" w:rsidRDefault="00757793" w:rsidP="00757793">
      <w:pPr>
        <w:rPr>
          <w:rFonts w:ascii="Garamond" w:hAnsi="Garamond"/>
        </w:rPr>
      </w:pPr>
    </w:p>
    <w:p w:rsidR="00757793" w:rsidRPr="006C4E2F" w:rsidRDefault="00757793" w:rsidP="00757793">
      <w:pPr>
        <w:spacing w:line="480" w:lineRule="auto"/>
        <w:jc w:val="both"/>
        <w:rPr>
          <w:rFonts w:ascii="Garamond" w:hAnsi="Garamond"/>
          <w:sz w:val="24"/>
          <w:szCs w:val="24"/>
        </w:rPr>
      </w:pPr>
      <w:r w:rsidRPr="006C4E2F">
        <w:rPr>
          <w:rFonts w:ascii="Garamond" w:hAnsi="Garamond"/>
        </w:rPr>
        <w:lastRenderedPageBreak/>
        <w:tab/>
        <w:t xml:space="preserve"> </w:t>
      </w:r>
      <w:r w:rsidRPr="006C4E2F">
        <w:rPr>
          <w:rFonts w:ascii="Garamond" w:hAnsi="Garamond"/>
          <w:sz w:val="24"/>
          <w:szCs w:val="24"/>
        </w:rPr>
        <w:t xml:space="preserve">Nos </w:t>
      </w:r>
      <w:r w:rsidRPr="006C4E2F">
        <w:rPr>
          <w:rFonts w:ascii="Garamond" w:hAnsi="Garamond"/>
          <w:b/>
          <w:sz w:val="24"/>
          <w:szCs w:val="24"/>
        </w:rPr>
        <w:t>GRÁFICOS 1</w:t>
      </w:r>
      <w:r w:rsidRPr="006C4E2F">
        <w:rPr>
          <w:rFonts w:ascii="Garamond" w:hAnsi="Garamond"/>
          <w:sz w:val="24"/>
          <w:szCs w:val="24"/>
        </w:rPr>
        <w:t xml:space="preserve"> </w:t>
      </w:r>
      <w:r w:rsidRPr="006C4E2F">
        <w:rPr>
          <w:rFonts w:ascii="Garamond" w:hAnsi="Garamond"/>
          <w:b/>
          <w:sz w:val="24"/>
          <w:szCs w:val="24"/>
        </w:rPr>
        <w:t>e 2</w:t>
      </w:r>
      <w:r w:rsidRPr="006C4E2F">
        <w:rPr>
          <w:rFonts w:ascii="Garamond" w:hAnsi="Garamond"/>
          <w:sz w:val="24"/>
          <w:szCs w:val="24"/>
        </w:rPr>
        <w:t xml:space="preserve"> estão descritos os valores em porcentagem para ambos os sexos da variável de estado nutricional, onde o sexo masculino apresentou 80% eutróficos, 9% com sobrepeso, 6% com obesidade, 3% com magreza e 1% com magreza acentuada e obesidade grave. E o sexo feminino sendo 82% eutróficas, 12% com sobrepeso, 3% com obesidade, 2% com magreza, 1% com magreza acentuada e nenhum índice de obesidade grave. </w:t>
      </w:r>
    </w:p>
    <w:p w:rsidR="00757793" w:rsidRPr="006C4E2F" w:rsidRDefault="00757793" w:rsidP="00757793">
      <w:pPr>
        <w:spacing w:line="360" w:lineRule="auto"/>
        <w:ind w:left="1276" w:hanging="1276"/>
        <w:jc w:val="both"/>
        <w:rPr>
          <w:rFonts w:ascii="Garamond" w:hAnsi="Garamond"/>
          <w:b/>
        </w:rPr>
      </w:pPr>
      <w:r w:rsidRPr="006C4E2F">
        <w:rPr>
          <w:rFonts w:ascii="Garamond" w:hAnsi="Garamond"/>
          <w:b/>
        </w:rPr>
        <w:t>GRÁFICO 1 – Estado nutricional d</w:t>
      </w:r>
      <w:bookmarkStart w:id="4" w:name="_Hlk499807266"/>
      <w:r w:rsidRPr="006C4E2F">
        <w:rPr>
          <w:rFonts w:ascii="Garamond" w:hAnsi="Garamond"/>
          <w:b/>
        </w:rPr>
        <w:t xml:space="preserve">o sexo masculino de acordo com critérios de referência utilizados pela Organização Mundial de Saúde (OMS). </w:t>
      </w:r>
    </w:p>
    <w:bookmarkEnd w:id="4"/>
    <w:p w:rsidR="00757793" w:rsidRPr="006C4E2F" w:rsidRDefault="00757793" w:rsidP="00757793">
      <w:pPr>
        <w:spacing w:line="480" w:lineRule="auto"/>
        <w:jc w:val="center"/>
        <w:rPr>
          <w:rFonts w:ascii="Garamond" w:hAnsi="Garamond"/>
          <w:sz w:val="24"/>
          <w:szCs w:val="24"/>
        </w:rPr>
      </w:pPr>
      <w:r w:rsidRPr="006C4E2F">
        <w:rPr>
          <w:rFonts w:ascii="Garamond" w:hAnsi="Garamond"/>
          <w:noProof/>
        </w:rPr>
        <w:drawing>
          <wp:inline distT="0" distB="0" distL="0" distR="0" wp14:anchorId="302F4CA5" wp14:editId="219C3507">
            <wp:extent cx="4516755" cy="1883884"/>
            <wp:effectExtent l="0" t="0" r="17145" b="2540"/>
            <wp:docPr id="3" name="Gráfico 3">
              <a:extLst xmlns:a="http://schemas.openxmlformats.org/drawingml/2006/main">
                <a:ext uri="{FF2B5EF4-FFF2-40B4-BE49-F238E27FC236}">
                  <a16:creationId xmlns:a16="http://schemas.microsoft.com/office/drawing/2014/main" id="{CB87EBC2-18D2-473E-9C01-A2C15D7F33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7793" w:rsidRPr="006C4E2F" w:rsidRDefault="00757793" w:rsidP="00757793">
      <w:pPr>
        <w:spacing w:line="360" w:lineRule="auto"/>
        <w:ind w:left="1276" w:hanging="1276"/>
        <w:jc w:val="both"/>
        <w:rPr>
          <w:rFonts w:ascii="Garamond" w:hAnsi="Garamond"/>
          <w:b/>
        </w:rPr>
      </w:pPr>
      <w:r w:rsidRPr="006C4E2F">
        <w:rPr>
          <w:rFonts w:ascii="Garamond" w:hAnsi="Garamond"/>
          <w:b/>
        </w:rPr>
        <w:t xml:space="preserve">GRÁFICO 2 – Estado nutricional do sexo feminino de acordo com critérios de referência utilizados pela Organização Mundial de Saúde (OMS). </w:t>
      </w:r>
    </w:p>
    <w:p w:rsidR="00757793" w:rsidRPr="006C4E2F" w:rsidRDefault="00757793" w:rsidP="00757793">
      <w:pPr>
        <w:spacing w:line="240" w:lineRule="auto"/>
        <w:jc w:val="center"/>
        <w:rPr>
          <w:rFonts w:ascii="Garamond" w:hAnsi="Garamond"/>
          <w:sz w:val="24"/>
          <w:szCs w:val="24"/>
        </w:rPr>
      </w:pPr>
      <w:r w:rsidRPr="006C4E2F">
        <w:rPr>
          <w:rFonts w:ascii="Garamond" w:hAnsi="Garamond"/>
          <w:noProof/>
        </w:rPr>
        <w:drawing>
          <wp:inline distT="0" distB="0" distL="0" distR="0" wp14:anchorId="00AB1448" wp14:editId="3E35AD40">
            <wp:extent cx="4428781" cy="2082188"/>
            <wp:effectExtent l="0" t="0" r="10160" b="13335"/>
            <wp:docPr id="4" name="Gráfico 4">
              <a:extLst xmlns:a="http://schemas.openxmlformats.org/drawingml/2006/main">
                <a:ext uri="{FF2B5EF4-FFF2-40B4-BE49-F238E27FC236}">
                  <a16:creationId xmlns:a16="http://schemas.microsoft.com/office/drawing/2014/main" id="{FA5BC27F-0F4A-48C0-A5DC-CCFB9917A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57793" w:rsidRPr="006C4E2F" w:rsidRDefault="00757793" w:rsidP="00757793">
      <w:pPr>
        <w:spacing w:line="240" w:lineRule="auto"/>
        <w:jc w:val="center"/>
        <w:rPr>
          <w:rFonts w:ascii="Garamond" w:hAnsi="Garamond"/>
          <w:sz w:val="24"/>
          <w:szCs w:val="24"/>
        </w:rPr>
      </w:pP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 xml:space="preserve">Nos </w:t>
      </w:r>
      <w:r w:rsidRPr="006C4E2F">
        <w:rPr>
          <w:rFonts w:ascii="Garamond" w:hAnsi="Garamond"/>
          <w:b/>
          <w:sz w:val="24"/>
          <w:szCs w:val="24"/>
        </w:rPr>
        <w:t>GRÁFICOS de 3 à 8</w:t>
      </w:r>
      <w:r w:rsidRPr="006C4E2F">
        <w:rPr>
          <w:rFonts w:ascii="Garamond" w:hAnsi="Garamond"/>
          <w:sz w:val="24"/>
          <w:szCs w:val="24"/>
        </w:rPr>
        <w:t xml:space="preserve"> estão expostos os resultados dos testes de desempenho motor em porcentagem, os valores de flexibilidade, abdominal modificado e salto horizontal </w:t>
      </w:r>
      <w:r w:rsidRPr="006C4E2F">
        <w:rPr>
          <w:rFonts w:ascii="Garamond" w:hAnsi="Garamond"/>
          <w:sz w:val="24"/>
          <w:szCs w:val="24"/>
        </w:rPr>
        <w:lastRenderedPageBreak/>
        <w:t xml:space="preserve">estão divididos por sexo, tendo como referência o Projeto Esporte Brasil do ano de 2007 no qual são classificados em muito fraco, fraco, razoável, bom, muito bom e excelente. </w:t>
      </w:r>
    </w:p>
    <w:p w:rsidR="00757793" w:rsidRPr="006C4E2F" w:rsidRDefault="00757793" w:rsidP="00757793">
      <w:pPr>
        <w:spacing w:line="360" w:lineRule="auto"/>
        <w:ind w:left="1276" w:hanging="1276"/>
        <w:jc w:val="both"/>
        <w:rPr>
          <w:rFonts w:ascii="Garamond" w:hAnsi="Garamond"/>
          <w:b/>
        </w:rPr>
      </w:pPr>
      <w:r w:rsidRPr="006C4E2F">
        <w:rPr>
          <w:rFonts w:ascii="Garamond" w:hAnsi="Garamond"/>
          <w:b/>
        </w:rPr>
        <w:t xml:space="preserve">GRÁFICO 3 – Teste de sentar e alcançar do sexo masculino de acordo com critérios de referência utilizados pela PROESP-BR 2007. </w:t>
      </w:r>
    </w:p>
    <w:p w:rsidR="00757793" w:rsidRPr="006C4E2F" w:rsidRDefault="00757793" w:rsidP="00757793">
      <w:pPr>
        <w:jc w:val="center"/>
        <w:rPr>
          <w:rFonts w:ascii="Garamond" w:hAnsi="Garamond"/>
        </w:rPr>
      </w:pPr>
      <w:r w:rsidRPr="006C4E2F">
        <w:rPr>
          <w:rFonts w:ascii="Garamond" w:hAnsi="Garamond"/>
          <w:noProof/>
        </w:rPr>
        <w:drawing>
          <wp:inline distT="0" distB="0" distL="0" distR="0" wp14:anchorId="2C4458B4" wp14:editId="550BB846">
            <wp:extent cx="4096385" cy="1689652"/>
            <wp:effectExtent l="0" t="0" r="18415" b="6350"/>
            <wp:docPr id="10" name="Gráfico 10">
              <a:extLst xmlns:a="http://schemas.openxmlformats.org/drawingml/2006/main">
                <a:ext uri="{FF2B5EF4-FFF2-40B4-BE49-F238E27FC236}">
                  <a16:creationId xmlns:a16="http://schemas.microsoft.com/office/drawing/2014/main" id="{088CE232-E58E-4267-926A-9F3CE5DC6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239B" w:rsidRPr="006C4E2F" w:rsidRDefault="003B239B" w:rsidP="00757793">
      <w:pPr>
        <w:jc w:val="center"/>
        <w:rPr>
          <w:rFonts w:ascii="Garamond" w:hAnsi="Garamond"/>
        </w:rPr>
      </w:pPr>
    </w:p>
    <w:p w:rsidR="00241693" w:rsidRPr="006C4E2F" w:rsidRDefault="00757793" w:rsidP="00603B51">
      <w:pPr>
        <w:spacing w:line="360" w:lineRule="auto"/>
        <w:ind w:left="993" w:hanging="1276"/>
        <w:jc w:val="both"/>
        <w:rPr>
          <w:rFonts w:ascii="Garamond" w:hAnsi="Garamond"/>
          <w:b/>
        </w:rPr>
      </w:pPr>
      <w:r w:rsidRPr="006C4E2F">
        <w:rPr>
          <w:rFonts w:ascii="Garamond" w:hAnsi="Garamond"/>
          <w:b/>
        </w:rPr>
        <w:t xml:space="preserve">GRÁFICO 4 – Teste de sentar e alcançar do sexo feminino de acordo com critérios de referência utilizados pela PROESP-BR 2007. </w:t>
      </w:r>
    </w:p>
    <w:p w:rsidR="00757793" w:rsidRPr="006C4E2F" w:rsidRDefault="00241693" w:rsidP="00603B51">
      <w:pPr>
        <w:spacing w:line="360" w:lineRule="auto"/>
        <w:ind w:left="993" w:hanging="1276"/>
        <w:jc w:val="both"/>
        <w:rPr>
          <w:rFonts w:ascii="Garamond" w:hAnsi="Garamond"/>
        </w:rPr>
      </w:pPr>
      <w:r w:rsidRPr="006C4E2F">
        <w:rPr>
          <w:rFonts w:ascii="Garamond" w:hAnsi="Garamond"/>
        </w:rPr>
        <w:t xml:space="preserve">                         </w:t>
      </w:r>
      <w:r w:rsidR="00757793" w:rsidRPr="006C4E2F">
        <w:rPr>
          <w:rFonts w:ascii="Garamond" w:hAnsi="Garamond"/>
          <w:noProof/>
        </w:rPr>
        <w:drawing>
          <wp:inline distT="0" distB="0" distL="0" distR="0" wp14:anchorId="3DA928D3" wp14:editId="1D9006DD">
            <wp:extent cx="4132580" cy="1689652"/>
            <wp:effectExtent l="0" t="0" r="1270" b="6350"/>
            <wp:docPr id="11" name="Gráfico 11">
              <a:extLst xmlns:a="http://schemas.openxmlformats.org/drawingml/2006/main">
                <a:ext uri="{FF2B5EF4-FFF2-40B4-BE49-F238E27FC236}">
                  <a16:creationId xmlns:a16="http://schemas.microsoft.com/office/drawing/2014/main" id="{F5E3D850-F6E3-4522-9AF7-FB43F4B06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239B" w:rsidRPr="006C4E2F" w:rsidRDefault="003B239B" w:rsidP="00603B51">
      <w:pPr>
        <w:spacing w:line="360" w:lineRule="auto"/>
        <w:ind w:left="993" w:hanging="1276"/>
        <w:jc w:val="both"/>
        <w:rPr>
          <w:rFonts w:ascii="Garamond" w:hAnsi="Garamond"/>
        </w:rPr>
      </w:pPr>
    </w:p>
    <w:p w:rsidR="00757793" w:rsidRPr="006C4E2F" w:rsidRDefault="00757793" w:rsidP="00757793">
      <w:pPr>
        <w:spacing w:line="360" w:lineRule="auto"/>
        <w:ind w:left="1276" w:hanging="1276"/>
        <w:jc w:val="both"/>
        <w:rPr>
          <w:rFonts w:ascii="Garamond" w:hAnsi="Garamond"/>
          <w:b/>
        </w:rPr>
      </w:pPr>
      <w:r w:rsidRPr="006C4E2F">
        <w:rPr>
          <w:rFonts w:ascii="Garamond" w:hAnsi="Garamond"/>
          <w:b/>
        </w:rPr>
        <w:t xml:space="preserve">GRÁFICO 5 –  Teste de abdominal modificado do sexo masculino de acordo com critérios de referência utilizados pela PROESP-BR 2007. </w:t>
      </w:r>
    </w:p>
    <w:p w:rsidR="00757793" w:rsidRPr="006C4E2F" w:rsidRDefault="00757793" w:rsidP="00603B51">
      <w:pPr>
        <w:jc w:val="center"/>
        <w:rPr>
          <w:rFonts w:ascii="Garamond" w:hAnsi="Garamond"/>
        </w:rPr>
      </w:pPr>
      <w:r w:rsidRPr="006C4E2F">
        <w:rPr>
          <w:rFonts w:ascii="Garamond" w:hAnsi="Garamond"/>
          <w:noProof/>
        </w:rPr>
        <w:drawing>
          <wp:inline distT="0" distB="0" distL="0" distR="0" wp14:anchorId="39640874" wp14:editId="4DA51E82">
            <wp:extent cx="4215130" cy="1570383"/>
            <wp:effectExtent l="0" t="0" r="13970" b="10795"/>
            <wp:docPr id="13" name="Gráfico 13">
              <a:extLst xmlns:a="http://schemas.openxmlformats.org/drawingml/2006/main">
                <a:ext uri="{FF2B5EF4-FFF2-40B4-BE49-F238E27FC236}">
                  <a16:creationId xmlns:a16="http://schemas.microsoft.com/office/drawing/2014/main" id="{E261AED2-4E92-4DB0-B285-5614F9B7A2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57793" w:rsidRPr="006C4E2F" w:rsidRDefault="00757793" w:rsidP="003B239B">
      <w:pPr>
        <w:spacing w:line="360" w:lineRule="auto"/>
        <w:ind w:left="1276" w:hanging="1276"/>
        <w:rPr>
          <w:rFonts w:ascii="Garamond" w:hAnsi="Garamond"/>
        </w:rPr>
      </w:pPr>
      <w:r w:rsidRPr="006C4E2F">
        <w:rPr>
          <w:rFonts w:ascii="Garamond" w:hAnsi="Garamond"/>
          <w:b/>
        </w:rPr>
        <w:lastRenderedPageBreak/>
        <w:t xml:space="preserve">GRÁFICO 6 –  Teste de abdominal modificado do sexo feminino de acordo com critérios de referência utilizados pela PROESP-BR 2007. </w:t>
      </w:r>
      <w:r w:rsidRPr="006C4E2F">
        <w:rPr>
          <w:rFonts w:ascii="Garamond" w:hAnsi="Garamond"/>
          <w:noProof/>
        </w:rPr>
        <w:drawing>
          <wp:inline distT="0" distB="0" distL="0" distR="0" wp14:anchorId="52904F4C" wp14:editId="053EE9EF">
            <wp:extent cx="4096385" cy="1967948"/>
            <wp:effectExtent l="0" t="0" r="18415" b="13335"/>
            <wp:docPr id="14" name="Gráfico 14">
              <a:extLst xmlns:a="http://schemas.openxmlformats.org/drawingml/2006/main">
                <a:ext uri="{FF2B5EF4-FFF2-40B4-BE49-F238E27FC236}">
                  <a16:creationId xmlns:a16="http://schemas.microsoft.com/office/drawing/2014/main" id="{A7B05E0B-C680-4961-807B-D0DD3F1F7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B239B" w:rsidRPr="006C4E2F" w:rsidRDefault="003B239B" w:rsidP="003B239B">
      <w:pPr>
        <w:spacing w:line="360" w:lineRule="auto"/>
        <w:ind w:left="1276" w:hanging="1276"/>
        <w:rPr>
          <w:rFonts w:ascii="Garamond" w:hAnsi="Garamond"/>
        </w:rPr>
      </w:pPr>
    </w:p>
    <w:p w:rsidR="00603B51" w:rsidRPr="006C4E2F" w:rsidRDefault="00757793" w:rsidP="00757793">
      <w:pPr>
        <w:spacing w:line="360" w:lineRule="auto"/>
        <w:ind w:left="1276" w:hanging="1276"/>
        <w:jc w:val="both"/>
        <w:rPr>
          <w:rFonts w:ascii="Garamond" w:hAnsi="Garamond"/>
          <w:b/>
        </w:rPr>
      </w:pPr>
      <w:r w:rsidRPr="006C4E2F">
        <w:rPr>
          <w:rFonts w:ascii="Garamond" w:hAnsi="Garamond"/>
          <w:b/>
        </w:rPr>
        <w:t xml:space="preserve">GRÁFICO 7 –  Teste de salto horizontal do sexo masculino de acordo com critérios de referência utilizados pela PROESP-BR 2007. </w:t>
      </w:r>
    </w:p>
    <w:p w:rsidR="00757793" w:rsidRPr="006C4E2F" w:rsidRDefault="00603B51" w:rsidP="00241693">
      <w:pPr>
        <w:spacing w:line="360" w:lineRule="auto"/>
        <w:ind w:left="1276" w:hanging="1276"/>
        <w:jc w:val="both"/>
        <w:rPr>
          <w:rFonts w:ascii="Garamond" w:hAnsi="Garamond"/>
          <w:b/>
        </w:rPr>
      </w:pPr>
      <w:r w:rsidRPr="006C4E2F">
        <w:rPr>
          <w:rFonts w:ascii="Garamond" w:hAnsi="Garamond"/>
          <w:b/>
        </w:rPr>
        <w:t xml:space="preserve">                      </w:t>
      </w:r>
      <w:r w:rsidRPr="006C4E2F">
        <w:rPr>
          <w:rFonts w:ascii="Garamond" w:hAnsi="Garamond"/>
          <w:noProof/>
        </w:rPr>
        <w:drawing>
          <wp:inline distT="0" distB="0" distL="0" distR="0" wp14:anchorId="64C6C4C3" wp14:editId="38775644">
            <wp:extent cx="4194175" cy="1848678"/>
            <wp:effectExtent l="0" t="0" r="15875" b="18415"/>
            <wp:docPr id="15" name="Gráfico 15">
              <a:extLst xmlns:a="http://schemas.openxmlformats.org/drawingml/2006/main">
                <a:ext uri="{FF2B5EF4-FFF2-40B4-BE49-F238E27FC236}">
                  <a16:creationId xmlns:a16="http://schemas.microsoft.com/office/drawing/2014/main" id="{D9235E76-F98C-4658-8439-90A647A02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B239B" w:rsidRPr="006C4E2F" w:rsidRDefault="003B239B" w:rsidP="00241693">
      <w:pPr>
        <w:spacing w:line="360" w:lineRule="auto"/>
        <w:ind w:left="1276" w:hanging="1276"/>
        <w:jc w:val="both"/>
        <w:rPr>
          <w:rFonts w:ascii="Garamond" w:hAnsi="Garamond"/>
          <w:b/>
        </w:rPr>
      </w:pPr>
    </w:p>
    <w:p w:rsidR="003B239B" w:rsidRPr="006C4E2F" w:rsidRDefault="00757793" w:rsidP="00757793">
      <w:pPr>
        <w:spacing w:line="360" w:lineRule="auto"/>
        <w:ind w:left="1276" w:hanging="1276"/>
        <w:jc w:val="both"/>
        <w:rPr>
          <w:rFonts w:ascii="Garamond" w:hAnsi="Garamond"/>
          <w:b/>
        </w:rPr>
      </w:pPr>
      <w:r w:rsidRPr="006C4E2F">
        <w:rPr>
          <w:rFonts w:ascii="Garamond" w:hAnsi="Garamond"/>
          <w:b/>
        </w:rPr>
        <w:t>GRÁFICO 8 –  Teste de salto horizontal do sexo feminino de acordo com critérios de referência utilizados pela PROESP-BR 2007.</w:t>
      </w:r>
    </w:p>
    <w:p w:rsidR="00757793" w:rsidRPr="006C4E2F" w:rsidRDefault="00757793" w:rsidP="003B239B">
      <w:pPr>
        <w:spacing w:line="360" w:lineRule="auto"/>
        <w:ind w:left="1276" w:hanging="1276"/>
        <w:jc w:val="center"/>
        <w:rPr>
          <w:rFonts w:ascii="Garamond" w:hAnsi="Garamond"/>
        </w:rPr>
      </w:pPr>
      <w:r w:rsidRPr="006C4E2F">
        <w:rPr>
          <w:rFonts w:ascii="Garamond" w:hAnsi="Garamond"/>
          <w:noProof/>
        </w:rPr>
        <w:drawing>
          <wp:inline distT="0" distB="0" distL="0" distR="0" wp14:anchorId="101B8435" wp14:editId="0AABB07C">
            <wp:extent cx="4134485" cy="1987827"/>
            <wp:effectExtent l="0" t="0" r="18415" b="12700"/>
            <wp:docPr id="16" name="Gráfico 16">
              <a:extLst xmlns:a="http://schemas.openxmlformats.org/drawingml/2006/main">
                <a:ext uri="{FF2B5EF4-FFF2-40B4-BE49-F238E27FC236}">
                  <a16:creationId xmlns:a16="http://schemas.microsoft.com/office/drawing/2014/main" id="{5466341B-F8E4-4AE6-90B3-4AB341B0E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57793" w:rsidRPr="006C4E2F" w:rsidRDefault="00757793" w:rsidP="00A76B74">
      <w:pPr>
        <w:spacing w:line="240" w:lineRule="auto"/>
        <w:jc w:val="both"/>
        <w:rPr>
          <w:rFonts w:ascii="Garamond" w:hAnsi="Garamond"/>
          <w:sz w:val="24"/>
        </w:rPr>
      </w:pPr>
      <w:r w:rsidRPr="006C4E2F">
        <w:rPr>
          <w:rFonts w:ascii="Garamond" w:hAnsi="Garamond"/>
          <w:sz w:val="24"/>
        </w:rPr>
        <w:lastRenderedPageBreak/>
        <w:tab/>
        <w:t xml:space="preserve">Na </w:t>
      </w:r>
      <w:r w:rsidRPr="006C4E2F">
        <w:rPr>
          <w:rFonts w:ascii="Garamond" w:hAnsi="Garamond"/>
          <w:b/>
          <w:sz w:val="24"/>
        </w:rPr>
        <w:t>TABELA 2</w:t>
      </w:r>
      <w:r w:rsidRPr="006C4E2F">
        <w:rPr>
          <w:rFonts w:ascii="Garamond" w:hAnsi="Garamond"/>
          <w:sz w:val="24"/>
        </w:rPr>
        <w:t xml:space="preserve"> estão expressos a comparação do estado nutricional e desempenho motor dos escolares do sexo masculino e feminino com característica eutrofia versus magreza no qual não possuem diferenças significativas. Na </w:t>
      </w:r>
      <w:r w:rsidRPr="006C4E2F">
        <w:rPr>
          <w:rFonts w:ascii="Garamond" w:hAnsi="Garamond"/>
          <w:b/>
          <w:sz w:val="24"/>
        </w:rPr>
        <w:t>TABELA 3</w:t>
      </w:r>
      <w:r w:rsidRPr="006C4E2F">
        <w:rPr>
          <w:rFonts w:ascii="Garamond" w:hAnsi="Garamond"/>
          <w:sz w:val="24"/>
        </w:rPr>
        <w:t xml:space="preserve"> estão apresentadas as comparações dos eutróficos versus obesidade no qual houve diferença significativa nos testes de abdominal modificado para o sexo masculino e salto horizontal em ambos os sexos.</w:t>
      </w:r>
    </w:p>
    <w:p w:rsidR="003B239B" w:rsidRPr="006C4E2F" w:rsidRDefault="00757793" w:rsidP="00A76B74">
      <w:pPr>
        <w:spacing w:line="240" w:lineRule="auto"/>
        <w:ind w:left="1276" w:hanging="1276"/>
        <w:jc w:val="both"/>
        <w:rPr>
          <w:rFonts w:ascii="Garamond" w:hAnsi="Garamond"/>
          <w:b/>
        </w:rPr>
      </w:pPr>
      <w:r w:rsidRPr="006C4E2F">
        <w:rPr>
          <w:rFonts w:ascii="Garamond" w:hAnsi="Garamond"/>
          <w:b/>
        </w:rPr>
        <w:t>TABELA 2 –  Comparação dos testes de desempenho motor do estado nutricional de Eutrofia x Magreza do sexo masculino e feminino.</w:t>
      </w:r>
    </w:p>
    <w:tbl>
      <w:tblPr>
        <w:tblW w:w="9082" w:type="dxa"/>
        <w:tblInd w:w="-10" w:type="dxa"/>
        <w:tblCellMar>
          <w:left w:w="70" w:type="dxa"/>
          <w:right w:w="70" w:type="dxa"/>
        </w:tblCellMar>
        <w:tblLook w:val="04A0" w:firstRow="1" w:lastRow="0" w:firstColumn="1" w:lastColumn="0" w:noHBand="0" w:noVBand="1"/>
      </w:tblPr>
      <w:tblGrid>
        <w:gridCol w:w="1405"/>
        <w:gridCol w:w="626"/>
        <w:gridCol w:w="2169"/>
        <w:gridCol w:w="773"/>
        <w:gridCol w:w="3098"/>
        <w:gridCol w:w="1011"/>
      </w:tblGrid>
      <w:tr w:rsidR="00757793" w:rsidRPr="006C4E2F" w:rsidTr="00D5125D">
        <w:trPr>
          <w:trHeight w:val="784"/>
        </w:trPr>
        <w:tc>
          <w:tcPr>
            <w:tcW w:w="1405" w:type="dxa"/>
            <w:tcBorders>
              <w:top w:val="single" w:sz="4" w:space="0" w:color="auto"/>
              <w:bottom w:val="single" w:sz="4" w:space="0" w:color="auto"/>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Testes</w:t>
            </w:r>
          </w:p>
        </w:tc>
        <w:tc>
          <w:tcPr>
            <w:tcW w:w="626" w:type="dxa"/>
            <w:tcBorders>
              <w:top w:val="single" w:sz="4" w:space="0" w:color="auto"/>
            </w:tcBorders>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Sexo</w:t>
            </w:r>
          </w:p>
        </w:tc>
        <w:tc>
          <w:tcPr>
            <w:tcW w:w="2169" w:type="dxa"/>
            <w:tcBorders>
              <w:top w:val="single" w:sz="4" w:space="0" w:color="auto"/>
              <w:bottom w:val="single" w:sz="4" w:space="0" w:color="000000"/>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Estado Nutricional</w:t>
            </w:r>
          </w:p>
        </w:tc>
        <w:tc>
          <w:tcPr>
            <w:tcW w:w="773" w:type="dxa"/>
            <w:tcBorders>
              <w:top w:val="single" w:sz="4" w:space="0" w:color="auto"/>
              <w:bottom w:val="single" w:sz="4" w:space="0" w:color="000000"/>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N</w:t>
            </w:r>
          </w:p>
        </w:tc>
        <w:tc>
          <w:tcPr>
            <w:tcW w:w="3098" w:type="dxa"/>
            <w:tcBorders>
              <w:top w:val="single" w:sz="4" w:space="0" w:color="auto"/>
              <w:left w:val="nil"/>
              <w:bottom w:val="single" w:sz="4" w:space="0" w:color="000000"/>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Média</w:t>
            </w:r>
          </w:p>
        </w:tc>
        <w:tc>
          <w:tcPr>
            <w:tcW w:w="1011" w:type="dxa"/>
            <w:tcBorders>
              <w:top w:val="single" w:sz="4" w:space="0" w:color="auto"/>
              <w:left w:val="nil"/>
              <w:bottom w:val="single" w:sz="4" w:space="0" w:color="000000"/>
              <w:right w:val="nil"/>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Test-t</w:t>
            </w:r>
          </w:p>
        </w:tc>
      </w:tr>
      <w:tr w:rsidR="00757793" w:rsidRPr="006C4E2F" w:rsidTr="00D5125D">
        <w:trPr>
          <w:trHeight w:val="341"/>
        </w:trPr>
        <w:tc>
          <w:tcPr>
            <w:tcW w:w="1405" w:type="dxa"/>
            <w:vMerge w:val="restart"/>
            <w:tcBorders>
              <w:top w:val="single" w:sz="4" w:space="0" w:color="auto"/>
            </w:tcBorders>
            <w:shd w:val="clear" w:color="000000" w:fill="FFFFFF"/>
            <w:vAlign w:val="center"/>
            <w:hideMark/>
          </w:tcPr>
          <w:p w:rsidR="00757793" w:rsidRPr="006C4E2F" w:rsidRDefault="00757793" w:rsidP="00D5125D">
            <w:pPr>
              <w:spacing w:after="0" w:line="240" w:lineRule="auto"/>
              <w:rPr>
                <w:rFonts w:ascii="Garamond" w:eastAsia="Times New Roman" w:hAnsi="Garamond" w:cs="Arial"/>
                <w:color w:val="000000"/>
                <w:lang w:eastAsia="pt-BR"/>
              </w:rPr>
            </w:pPr>
            <w:r w:rsidRPr="006C4E2F">
              <w:rPr>
                <w:rFonts w:ascii="Garamond" w:eastAsia="Times New Roman" w:hAnsi="Garamond" w:cs="Arial"/>
                <w:color w:val="000000"/>
                <w:lang w:eastAsia="pt-BR"/>
              </w:rPr>
              <w:t xml:space="preserve">Sentar e Alcançar </w:t>
            </w:r>
          </w:p>
        </w:tc>
        <w:tc>
          <w:tcPr>
            <w:tcW w:w="626" w:type="dxa"/>
            <w:vMerge w:val="restart"/>
            <w:tcBorders>
              <w:top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Mas.</w:t>
            </w:r>
          </w:p>
        </w:tc>
        <w:tc>
          <w:tcPr>
            <w:tcW w:w="2169" w:type="dxa"/>
            <w:tcBorders>
              <w:top w:val="single" w:sz="4" w:space="0" w:color="auto"/>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EUTROFIA</w:t>
            </w:r>
          </w:p>
        </w:tc>
        <w:tc>
          <w:tcPr>
            <w:tcW w:w="773" w:type="dxa"/>
            <w:tcBorders>
              <w:top w:val="single" w:sz="4" w:space="0" w:color="auto"/>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257</w:t>
            </w:r>
          </w:p>
        </w:tc>
        <w:tc>
          <w:tcPr>
            <w:tcW w:w="3098" w:type="dxa"/>
            <w:tcBorders>
              <w:top w:val="single" w:sz="4" w:space="0" w:color="auto"/>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23,3</w:t>
            </w:r>
          </w:p>
        </w:tc>
        <w:tc>
          <w:tcPr>
            <w:tcW w:w="1011" w:type="dxa"/>
            <w:vMerge w:val="restart"/>
            <w:tcBorders>
              <w:top w:val="single" w:sz="4" w:space="0" w:color="auto"/>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0,794</w:t>
            </w:r>
          </w:p>
        </w:tc>
      </w:tr>
      <w:tr w:rsidR="00757793" w:rsidRPr="006C4E2F" w:rsidTr="00D5125D">
        <w:trPr>
          <w:trHeight w:val="341"/>
        </w:trPr>
        <w:tc>
          <w:tcPr>
            <w:tcW w:w="1405" w:type="dxa"/>
            <w:vMerge/>
            <w:vAlign w:val="center"/>
            <w:hideMark/>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c>
          <w:tcPr>
            <w:tcW w:w="2169"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MAGREZA</w:t>
            </w:r>
          </w:p>
        </w:tc>
        <w:tc>
          <w:tcPr>
            <w:tcW w:w="773"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11</w:t>
            </w:r>
          </w:p>
        </w:tc>
        <w:tc>
          <w:tcPr>
            <w:tcW w:w="3098"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23,7</w:t>
            </w:r>
          </w:p>
        </w:tc>
        <w:tc>
          <w:tcPr>
            <w:tcW w:w="1011" w:type="dxa"/>
            <w:vMerge/>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p>
        </w:tc>
      </w:tr>
      <w:tr w:rsidR="00757793" w:rsidRPr="006C4E2F" w:rsidTr="00D5125D">
        <w:trPr>
          <w:trHeight w:val="341"/>
        </w:trPr>
        <w:tc>
          <w:tcPr>
            <w:tcW w:w="1405" w:type="dxa"/>
            <w:vMerge/>
            <w:vAlign w:val="center"/>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val="restart"/>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Fem.</w:t>
            </w:r>
          </w:p>
        </w:tc>
        <w:tc>
          <w:tcPr>
            <w:tcW w:w="2169"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EUTROFIA</w:t>
            </w:r>
          </w:p>
        </w:tc>
        <w:tc>
          <w:tcPr>
            <w:tcW w:w="773"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142</w:t>
            </w:r>
          </w:p>
        </w:tc>
        <w:tc>
          <w:tcPr>
            <w:tcW w:w="3098"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24,6</w:t>
            </w:r>
          </w:p>
        </w:tc>
        <w:tc>
          <w:tcPr>
            <w:tcW w:w="1011"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0,421</w:t>
            </w:r>
          </w:p>
        </w:tc>
      </w:tr>
      <w:tr w:rsidR="00757793" w:rsidRPr="006C4E2F" w:rsidTr="00D5125D">
        <w:trPr>
          <w:trHeight w:val="341"/>
        </w:trPr>
        <w:tc>
          <w:tcPr>
            <w:tcW w:w="1405" w:type="dxa"/>
            <w:vMerge/>
            <w:vAlign w:val="center"/>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c>
          <w:tcPr>
            <w:tcW w:w="2169"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MAGREZA</w:t>
            </w:r>
          </w:p>
        </w:tc>
        <w:tc>
          <w:tcPr>
            <w:tcW w:w="773"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4</w:t>
            </w:r>
          </w:p>
        </w:tc>
        <w:tc>
          <w:tcPr>
            <w:tcW w:w="3098"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27,1</w:t>
            </w:r>
          </w:p>
        </w:tc>
        <w:tc>
          <w:tcPr>
            <w:tcW w:w="1011"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r>
      <w:tr w:rsidR="00757793" w:rsidRPr="006C4E2F" w:rsidTr="00D5125D">
        <w:trPr>
          <w:trHeight w:val="341"/>
        </w:trPr>
        <w:tc>
          <w:tcPr>
            <w:tcW w:w="1405" w:type="dxa"/>
            <w:vMerge w:val="restart"/>
            <w:shd w:val="clear" w:color="000000" w:fill="FFFFFF"/>
            <w:vAlign w:val="center"/>
            <w:hideMark/>
          </w:tcPr>
          <w:p w:rsidR="00757793" w:rsidRPr="006C4E2F" w:rsidRDefault="00757793" w:rsidP="00D5125D">
            <w:pPr>
              <w:spacing w:after="0" w:line="240" w:lineRule="auto"/>
              <w:rPr>
                <w:rFonts w:ascii="Garamond" w:eastAsia="Times New Roman" w:hAnsi="Garamond" w:cs="Arial"/>
                <w:color w:val="000000"/>
                <w:lang w:eastAsia="pt-BR"/>
              </w:rPr>
            </w:pPr>
            <w:r w:rsidRPr="006C4E2F">
              <w:rPr>
                <w:rFonts w:ascii="Garamond" w:eastAsia="Times New Roman" w:hAnsi="Garamond" w:cs="Arial"/>
                <w:color w:val="000000"/>
                <w:lang w:eastAsia="pt-BR"/>
              </w:rPr>
              <w:t>Abdominal Mod.</w:t>
            </w:r>
          </w:p>
        </w:tc>
        <w:tc>
          <w:tcPr>
            <w:tcW w:w="626"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Mas.</w:t>
            </w:r>
          </w:p>
        </w:tc>
        <w:tc>
          <w:tcPr>
            <w:tcW w:w="2169"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EUTROFIA</w:t>
            </w:r>
          </w:p>
        </w:tc>
        <w:tc>
          <w:tcPr>
            <w:tcW w:w="773"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258</w:t>
            </w:r>
          </w:p>
        </w:tc>
        <w:tc>
          <w:tcPr>
            <w:tcW w:w="3098"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26,5</w:t>
            </w:r>
          </w:p>
        </w:tc>
        <w:tc>
          <w:tcPr>
            <w:tcW w:w="1011" w:type="dxa"/>
            <w:vMerge w:val="restart"/>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0,602</w:t>
            </w:r>
          </w:p>
        </w:tc>
      </w:tr>
      <w:tr w:rsidR="00757793" w:rsidRPr="006C4E2F" w:rsidTr="00D5125D">
        <w:trPr>
          <w:trHeight w:val="341"/>
        </w:trPr>
        <w:tc>
          <w:tcPr>
            <w:tcW w:w="1405" w:type="dxa"/>
            <w:vMerge/>
            <w:vAlign w:val="center"/>
            <w:hideMark/>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c>
          <w:tcPr>
            <w:tcW w:w="2169"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MAGREZA</w:t>
            </w:r>
          </w:p>
        </w:tc>
        <w:tc>
          <w:tcPr>
            <w:tcW w:w="773"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10</w:t>
            </w:r>
          </w:p>
        </w:tc>
        <w:tc>
          <w:tcPr>
            <w:tcW w:w="3098"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24,8</w:t>
            </w:r>
          </w:p>
        </w:tc>
        <w:tc>
          <w:tcPr>
            <w:tcW w:w="1011" w:type="dxa"/>
            <w:vMerge/>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p>
        </w:tc>
      </w:tr>
      <w:tr w:rsidR="00757793" w:rsidRPr="006C4E2F" w:rsidTr="00D5125D">
        <w:trPr>
          <w:trHeight w:val="341"/>
        </w:trPr>
        <w:tc>
          <w:tcPr>
            <w:tcW w:w="1405" w:type="dxa"/>
            <w:vMerge/>
            <w:vAlign w:val="center"/>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val="restart"/>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Fem.</w:t>
            </w:r>
          </w:p>
        </w:tc>
        <w:tc>
          <w:tcPr>
            <w:tcW w:w="2169"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EUTROFIA</w:t>
            </w:r>
          </w:p>
        </w:tc>
        <w:tc>
          <w:tcPr>
            <w:tcW w:w="773"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139</w:t>
            </w:r>
          </w:p>
        </w:tc>
        <w:tc>
          <w:tcPr>
            <w:tcW w:w="3098"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22,0</w:t>
            </w:r>
          </w:p>
        </w:tc>
        <w:tc>
          <w:tcPr>
            <w:tcW w:w="1011"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0,233</w:t>
            </w:r>
          </w:p>
        </w:tc>
      </w:tr>
      <w:tr w:rsidR="00757793" w:rsidRPr="006C4E2F" w:rsidTr="00D5125D">
        <w:trPr>
          <w:trHeight w:val="341"/>
        </w:trPr>
        <w:tc>
          <w:tcPr>
            <w:tcW w:w="1405" w:type="dxa"/>
            <w:vMerge/>
            <w:vAlign w:val="center"/>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c>
          <w:tcPr>
            <w:tcW w:w="2169"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MAGREZA</w:t>
            </w:r>
          </w:p>
        </w:tc>
        <w:tc>
          <w:tcPr>
            <w:tcW w:w="773"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4</w:t>
            </w:r>
          </w:p>
        </w:tc>
        <w:tc>
          <w:tcPr>
            <w:tcW w:w="3098"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15,2</w:t>
            </w:r>
          </w:p>
        </w:tc>
        <w:tc>
          <w:tcPr>
            <w:tcW w:w="1011"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r>
      <w:tr w:rsidR="00757793" w:rsidRPr="006C4E2F" w:rsidTr="00D5125D">
        <w:trPr>
          <w:trHeight w:val="341"/>
        </w:trPr>
        <w:tc>
          <w:tcPr>
            <w:tcW w:w="1405" w:type="dxa"/>
            <w:vMerge w:val="restart"/>
            <w:shd w:val="clear" w:color="000000" w:fill="FFFFFF"/>
            <w:vAlign w:val="center"/>
            <w:hideMark/>
          </w:tcPr>
          <w:p w:rsidR="00757793" w:rsidRPr="006C4E2F" w:rsidRDefault="00757793" w:rsidP="00D5125D">
            <w:pPr>
              <w:spacing w:after="0" w:line="240" w:lineRule="auto"/>
              <w:rPr>
                <w:rFonts w:ascii="Garamond" w:eastAsia="Times New Roman" w:hAnsi="Garamond" w:cs="Arial"/>
                <w:color w:val="000000"/>
                <w:lang w:eastAsia="pt-BR"/>
              </w:rPr>
            </w:pPr>
            <w:r w:rsidRPr="006C4E2F">
              <w:rPr>
                <w:rFonts w:ascii="Garamond" w:eastAsia="Times New Roman" w:hAnsi="Garamond" w:cs="Calibri"/>
                <w:color w:val="000000"/>
                <w:lang w:eastAsia="pt-BR"/>
              </w:rPr>
              <w:t>Salto Horizontal</w:t>
            </w:r>
          </w:p>
        </w:tc>
        <w:tc>
          <w:tcPr>
            <w:tcW w:w="626"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Mas.</w:t>
            </w:r>
          </w:p>
        </w:tc>
        <w:tc>
          <w:tcPr>
            <w:tcW w:w="2169"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EUTROFIA</w:t>
            </w:r>
          </w:p>
        </w:tc>
        <w:tc>
          <w:tcPr>
            <w:tcW w:w="773"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258</w:t>
            </w:r>
          </w:p>
        </w:tc>
        <w:tc>
          <w:tcPr>
            <w:tcW w:w="3098"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153,5</w:t>
            </w:r>
          </w:p>
        </w:tc>
        <w:tc>
          <w:tcPr>
            <w:tcW w:w="1011" w:type="dxa"/>
            <w:vMerge w:val="restart"/>
            <w:tcBorders>
              <w:bottom w:val="single" w:sz="4" w:space="0" w:color="auto"/>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0,225</w:t>
            </w:r>
          </w:p>
        </w:tc>
      </w:tr>
      <w:tr w:rsidR="00757793" w:rsidRPr="006C4E2F" w:rsidTr="00D5125D">
        <w:trPr>
          <w:trHeight w:val="341"/>
        </w:trPr>
        <w:tc>
          <w:tcPr>
            <w:tcW w:w="1405" w:type="dxa"/>
            <w:vMerge/>
            <w:vAlign w:val="center"/>
            <w:hideMark/>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tcBorders>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c>
          <w:tcPr>
            <w:tcW w:w="2169"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MAGREZA</w:t>
            </w:r>
          </w:p>
        </w:tc>
        <w:tc>
          <w:tcPr>
            <w:tcW w:w="773"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11</w:t>
            </w:r>
          </w:p>
        </w:tc>
        <w:tc>
          <w:tcPr>
            <w:tcW w:w="3098"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148,0</w:t>
            </w:r>
          </w:p>
        </w:tc>
        <w:tc>
          <w:tcPr>
            <w:tcW w:w="1011" w:type="dxa"/>
            <w:vMerge/>
            <w:tcBorders>
              <w:top w:val="single" w:sz="4" w:space="0" w:color="auto"/>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Arial"/>
                <w:color w:val="000000"/>
                <w:lang w:eastAsia="pt-BR"/>
              </w:rPr>
            </w:pPr>
          </w:p>
        </w:tc>
      </w:tr>
      <w:tr w:rsidR="00757793" w:rsidRPr="006C4E2F" w:rsidTr="00D5125D">
        <w:trPr>
          <w:trHeight w:val="341"/>
        </w:trPr>
        <w:tc>
          <w:tcPr>
            <w:tcW w:w="1405" w:type="dxa"/>
            <w:vMerge/>
            <w:vAlign w:val="center"/>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val="restart"/>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Fem.</w:t>
            </w:r>
          </w:p>
        </w:tc>
        <w:tc>
          <w:tcPr>
            <w:tcW w:w="2169" w:type="dxa"/>
            <w:tcBorders>
              <w:top w:val="nil"/>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EUTROFIA</w:t>
            </w:r>
          </w:p>
        </w:tc>
        <w:tc>
          <w:tcPr>
            <w:tcW w:w="773" w:type="dxa"/>
            <w:tcBorders>
              <w:top w:val="nil"/>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141</w:t>
            </w:r>
          </w:p>
        </w:tc>
        <w:tc>
          <w:tcPr>
            <w:tcW w:w="3098" w:type="dxa"/>
            <w:tcBorders>
              <w:top w:val="nil"/>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140,9</w:t>
            </w:r>
          </w:p>
        </w:tc>
        <w:tc>
          <w:tcPr>
            <w:tcW w:w="1011" w:type="dxa"/>
            <w:vMerge w:val="restart"/>
            <w:tcBorders>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0,468</w:t>
            </w:r>
          </w:p>
        </w:tc>
      </w:tr>
      <w:tr w:rsidR="00757793" w:rsidRPr="006C4E2F" w:rsidTr="00D5125D">
        <w:trPr>
          <w:trHeight w:val="341"/>
        </w:trPr>
        <w:tc>
          <w:tcPr>
            <w:tcW w:w="1405" w:type="dxa"/>
            <w:vMerge/>
            <w:tcBorders>
              <w:bottom w:val="single" w:sz="4" w:space="0" w:color="auto"/>
            </w:tcBorders>
            <w:vAlign w:val="center"/>
          </w:tcPr>
          <w:p w:rsidR="00757793" w:rsidRPr="006C4E2F" w:rsidRDefault="00757793" w:rsidP="00D5125D">
            <w:pPr>
              <w:spacing w:after="0" w:line="240" w:lineRule="auto"/>
              <w:rPr>
                <w:rFonts w:ascii="Garamond" w:eastAsia="Times New Roman" w:hAnsi="Garamond" w:cs="Arial"/>
                <w:color w:val="000000"/>
                <w:lang w:eastAsia="pt-BR"/>
              </w:rPr>
            </w:pPr>
          </w:p>
        </w:tc>
        <w:tc>
          <w:tcPr>
            <w:tcW w:w="626" w:type="dxa"/>
            <w:vMerge/>
            <w:tcBorders>
              <w:bottom w:val="single" w:sz="4" w:space="0" w:color="auto"/>
            </w:tcBorders>
            <w:shd w:val="clear" w:color="000000" w:fill="FFFFFF"/>
          </w:tcPr>
          <w:p w:rsidR="00757793" w:rsidRPr="006C4E2F" w:rsidRDefault="00757793" w:rsidP="00D5125D">
            <w:pPr>
              <w:spacing w:after="0" w:line="240" w:lineRule="auto"/>
              <w:jc w:val="center"/>
              <w:rPr>
                <w:rFonts w:ascii="Garamond" w:eastAsia="Times New Roman" w:hAnsi="Garamond" w:cs="Arial"/>
                <w:color w:val="000000"/>
                <w:lang w:eastAsia="pt-BR"/>
              </w:rPr>
            </w:pPr>
          </w:p>
        </w:tc>
        <w:tc>
          <w:tcPr>
            <w:tcW w:w="2169" w:type="dxa"/>
            <w:tcBorders>
              <w:top w:val="nil"/>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MAGREZA</w:t>
            </w:r>
          </w:p>
        </w:tc>
        <w:tc>
          <w:tcPr>
            <w:tcW w:w="773" w:type="dxa"/>
            <w:tcBorders>
              <w:top w:val="nil"/>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4</w:t>
            </w:r>
          </w:p>
        </w:tc>
        <w:tc>
          <w:tcPr>
            <w:tcW w:w="3098" w:type="dxa"/>
            <w:tcBorders>
              <w:top w:val="nil"/>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r w:rsidRPr="006C4E2F">
              <w:rPr>
                <w:rFonts w:ascii="Garamond" w:eastAsia="Times New Roman" w:hAnsi="Garamond" w:cs="Arial"/>
                <w:color w:val="000000"/>
                <w:lang w:eastAsia="pt-BR"/>
              </w:rPr>
              <w:t>135,5</w:t>
            </w:r>
          </w:p>
        </w:tc>
        <w:tc>
          <w:tcPr>
            <w:tcW w:w="1011" w:type="dxa"/>
            <w:vMerge/>
            <w:tcBorders>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Arial"/>
                <w:color w:val="000000"/>
                <w:lang w:eastAsia="pt-BR"/>
              </w:rPr>
            </w:pPr>
          </w:p>
        </w:tc>
      </w:tr>
    </w:tbl>
    <w:p w:rsidR="00143957" w:rsidRDefault="00757793" w:rsidP="00757793">
      <w:pPr>
        <w:rPr>
          <w:rFonts w:ascii="Garamond" w:hAnsi="Garamond"/>
          <w:sz w:val="24"/>
          <w:szCs w:val="24"/>
        </w:rPr>
      </w:pPr>
      <w:r w:rsidRPr="006C4E2F">
        <w:rPr>
          <w:rFonts w:ascii="Garamond" w:hAnsi="Garamond"/>
          <w:sz w:val="24"/>
          <w:szCs w:val="24"/>
        </w:rPr>
        <w:t>*P&lt;0,05 (nível de significância</w:t>
      </w:r>
    </w:p>
    <w:p w:rsidR="00A76B74" w:rsidRPr="00A76B74" w:rsidRDefault="00A76B74" w:rsidP="00757793">
      <w:pPr>
        <w:rPr>
          <w:rFonts w:ascii="Garamond" w:hAnsi="Garamond"/>
          <w:sz w:val="24"/>
          <w:szCs w:val="24"/>
        </w:rPr>
      </w:pPr>
    </w:p>
    <w:p w:rsidR="003B239B" w:rsidRPr="006C4E2F" w:rsidRDefault="00757793" w:rsidP="00A76B74">
      <w:pPr>
        <w:spacing w:line="240" w:lineRule="auto"/>
        <w:ind w:left="1276" w:hanging="1276"/>
        <w:jc w:val="both"/>
        <w:rPr>
          <w:rFonts w:ascii="Garamond" w:hAnsi="Garamond"/>
          <w:b/>
        </w:rPr>
      </w:pPr>
      <w:r w:rsidRPr="006C4E2F">
        <w:rPr>
          <w:rFonts w:ascii="Garamond" w:hAnsi="Garamond"/>
          <w:b/>
        </w:rPr>
        <w:t>TABELA 3 –  Comparação dos testes de desempenho motor do estado nutricional de Eutrofia x Obesidade do sexo masculino e feminino.</w:t>
      </w:r>
    </w:p>
    <w:tbl>
      <w:tblPr>
        <w:tblW w:w="8941" w:type="dxa"/>
        <w:tblInd w:w="-10" w:type="dxa"/>
        <w:tblCellMar>
          <w:left w:w="70" w:type="dxa"/>
          <w:right w:w="70" w:type="dxa"/>
        </w:tblCellMar>
        <w:tblLook w:val="04A0" w:firstRow="1" w:lastRow="0" w:firstColumn="1" w:lastColumn="0" w:noHBand="0" w:noVBand="1"/>
      </w:tblPr>
      <w:tblGrid>
        <w:gridCol w:w="1380"/>
        <w:gridCol w:w="672"/>
        <w:gridCol w:w="2204"/>
        <w:gridCol w:w="1076"/>
        <w:gridCol w:w="2622"/>
        <w:gridCol w:w="987"/>
      </w:tblGrid>
      <w:tr w:rsidR="00757793" w:rsidRPr="006C4E2F" w:rsidTr="00D5125D">
        <w:trPr>
          <w:trHeight w:val="744"/>
        </w:trPr>
        <w:tc>
          <w:tcPr>
            <w:tcW w:w="1380" w:type="dxa"/>
            <w:tcBorders>
              <w:top w:val="single" w:sz="4" w:space="0" w:color="auto"/>
              <w:bottom w:val="single" w:sz="4" w:space="0" w:color="auto"/>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Testes</w:t>
            </w:r>
          </w:p>
        </w:tc>
        <w:tc>
          <w:tcPr>
            <w:tcW w:w="672" w:type="dxa"/>
            <w:tcBorders>
              <w:top w:val="single" w:sz="8" w:space="0" w:color="auto"/>
            </w:tcBorders>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Sexo</w:t>
            </w:r>
          </w:p>
        </w:tc>
        <w:tc>
          <w:tcPr>
            <w:tcW w:w="2204" w:type="dxa"/>
            <w:tcBorders>
              <w:top w:val="single" w:sz="8" w:space="0" w:color="auto"/>
              <w:bottom w:val="single" w:sz="8" w:space="0" w:color="auto"/>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Estado Nutricional</w:t>
            </w:r>
          </w:p>
        </w:tc>
        <w:tc>
          <w:tcPr>
            <w:tcW w:w="1076" w:type="dxa"/>
            <w:tcBorders>
              <w:top w:val="single" w:sz="8" w:space="0" w:color="auto"/>
              <w:bottom w:val="single" w:sz="8" w:space="0" w:color="auto"/>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N</w:t>
            </w:r>
          </w:p>
        </w:tc>
        <w:tc>
          <w:tcPr>
            <w:tcW w:w="2622" w:type="dxa"/>
            <w:tcBorders>
              <w:top w:val="single" w:sz="8" w:space="0" w:color="auto"/>
              <w:left w:val="nil"/>
              <w:bottom w:val="single" w:sz="8" w:space="0" w:color="auto"/>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Média</w:t>
            </w:r>
          </w:p>
        </w:tc>
        <w:tc>
          <w:tcPr>
            <w:tcW w:w="987" w:type="dxa"/>
            <w:tcBorders>
              <w:top w:val="single" w:sz="4" w:space="0" w:color="auto"/>
              <w:left w:val="nil"/>
              <w:bottom w:val="single" w:sz="4" w:space="0" w:color="000000"/>
              <w:right w:val="nil"/>
            </w:tcBorders>
            <w:shd w:val="clear" w:color="auto" w:fill="auto"/>
            <w:noWrap/>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Test-t</w:t>
            </w:r>
          </w:p>
        </w:tc>
      </w:tr>
      <w:tr w:rsidR="00757793" w:rsidRPr="006C4E2F" w:rsidTr="00D5125D">
        <w:trPr>
          <w:trHeight w:val="318"/>
        </w:trPr>
        <w:tc>
          <w:tcPr>
            <w:tcW w:w="1380" w:type="dxa"/>
            <w:vMerge w:val="restart"/>
            <w:tcBorders>
              <w:top w:val="nil"/>
            </w:tcBorders>
            <w:shd w:val="clear" w:color="000000" w:fill="FFFFFF"/>
            <w:vAlign w:val="center"/>
            <w:hideMark/>
          </w:tcPr>
          <w:p w:rsidR="00757793" w:rsidRPr="006C4E2F" w:rsidRDefault="00757793" w:rsidP="00D5125D">
            <w:pPr>
              <w:spacing w:after="0" w:line="240" w:lineRule="auto"/>
              <w:rPr>
                <w:rFonts w:ascii="Garamond" w:eastAsia="Times New Roman" w:hAnsi="Garamond" w:cs="Calibri"/>
                <w:color w:val="000000"/>
                <w:lang w:eastAsia="pt-BR"/>
              </w:rPr>
            </w:pPr>
            <w:r w:rsidRPr="006C4E2F">
              <w:rPr>
                <w:rFonts w:ascii="Garamond" w:eastAsia="Times New Roman" w:hAnsi="Garamond" w:cs="Calibri"/>
                <w:color w:val="000000"/>
                <w:lang w:eastAsia="pt-BR"/>
              </w:rPr>
              <w:t xml:space="preserve">Sentar e Alcançar </w:t>
            </w:r>
          </w:p>
        </w:tc>
        <w:tc>
          <w:tcPr>
            <w:tcW w:w="672" w:type="dxa"/>
            <w:vMerge w:val="restart"/>
            <w:tcBorders>
              <w:top w:val="single" w:sz="8"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Mas.</w:t>
            </w:r>
          </w:p>
        </w:tc>
        <w:tc>
          <w:tcPr>
            <w:tcW w:w="2204" w:type="dxa"/>
            <w:tcBorders>
              <w:top w:val="single" w:sz="8" w:space="0" w:color="auto"/>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EUTROFIA</w:t>
            </w:r>
          </w:p>
        </w:tc>
        <w:tc>
          <w:tcPr>
            <w:tcW w:w="1076" w:type="dxa"/>
            <w:tcBorders>
              <w:top w:val="single" w:sz="8" w:space="0" w:color="auto"/>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257</w:t>
            </w:r>
          </w:p>
        </w:tc>
        <w:tc>
          <w:tcPr>
            <w:tcW w:w="2622" w:type="dxa"/>
            <w:tcBorders>
              <w:top w:val="single" w:sz="8" w:space="0" w:color="auto"/>
              <w:left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23,3</w:t>
            </w:r>
          </w:p>
        </w:tc>
        <w:tc>
          <w:tcPr>
            <w:tcW w:w="987" w:type="dxa"/>
            <w:vMerge w:val="restart"/>
            <w:tcBorders>
              <w:top w:val="nil"/>
              <w:left w:val="nil"/>
              <w:righ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FF0000"/>
                <w:lang w:eastAsia="pt-BR"/>
              </w:rPr>
            </w:pPr>
            <w:r w:rsidRPr="006C4E2F">
              <w:rPr>
                <w:rFonts w:ascii="Garamond" w:eastAsia="Times New Roman" w:hAnsi="Garamond" w:cs="Calibri"/>
                <w:lang w:eastAsia="pt-BR"/>
              </w:rPr>
              <w:t>0,028</w:t>
            </w:r>
          </w:p>
        </w:tc>
      </w:tr>
      <w:tr w:rsidR="00757793" w:rsidRPr="006C4E2F" w:rsidTr="00D5125D">
        <w:trPr>
          <w:trHeight w:val="318"/>
        </w:trPr>
        <w:tc>
          <w:tcPr>
            <w:tcW w:w="1380" w:type="dxa"/>
            <w:vMerge/>
            <w:vAlign w:val="center"/>
            <w:hideMark/>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p>
        </w:tc>
        <w:tc>
          <w:tcPr>
            <w:tcW w:w="2204"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OBESIDADE</w:t>
            </w:r>
          </w:p>
        </w:tc>
        <w:tc>
          <w:tcPr>
            <w:tcW w:w="1076"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18</w:t>
            </w:r>
          </w:p>
        </w:tc>
        <w:tc>
          <w:tcPr>
            <w:tcW w:w="2622" w:type="dxa"/>
            <w:tcBorders>
              <w:top w:val="nil"/>
              <w:lef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19,8</w:t>
            </w:r>
          </w:p>
        </w:tc>
        <w:tc>
          <w:tcPr>
            <w:tcW w:w="987" w:type="dxa"/>
            <w:vMerge/>
            <w:tcBorders>
              <w:left w:val="nil"/>
              <w:righ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FF0000"/>
                <w:lang w:eastAsia="pt-BR"/>
              </w:rPr>
            </w:pPr>
          </w:p>
        </w:tc>
      </w:tr>
      <w:tr w:rsidR="00757793" w:rsidRPr="006C4E2F" w:rsidTr="00D5125D">
        <w:trPr>
          <w:trHeight w:val="318"/>
        </w:trPr>
        <w:tc>
          <w:tcPr>
            <w:tcW w:w="1380" w:type="dxa"/>
            <w:vMerge/>
            <w:vAlign w:val="center"/>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Fem.</w:t>
            </w:r>
          </w:p>
        </w:tc>
        <w:tc>
          <w:tcPr>
            <w:tcW w:w="2204"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EUTROFIA</w:t>
            </w:r>
          </w:p>
        </w:tc>
        <w:tc>
          <w:tcPr>
            <w:tcW w:w="1076"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142</w:t>
            </w:r>
          </w:p>
        </w:tc>
        <w:tc>
          <w:tcPr>
            <w:tcW w:w="2622" w:type="dxa"/>
            <w:tcBorders>
              <w:top w:val="nil"/>
              <w:lef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24,6</w:t>
            </w:r>
          </w:p>
        </w:tc>
        <w:tc>
          <w:tcPr>
            <w:tcW w:w="987" w:type="dxa"/>
            <w:vMerge w:val="restart"/>
            <w:tcBorders>
              <w:left w:val="nil"/>
              <w:righ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FF0000"/>
                <w:lang w:eastAsia="pt-BR"/>
              </w:rPr>
            </w:pPr>
            <w:r w:rsidRPr="006C4E2F">
              <w:rPr>
                <w:rFonts w:ascii="Garamond" w:eastAsia="Times New Roman" w:hAnsi="Garamond" w:cs="Calibri"/>
                <w:color w:val="000000"/>
                <w:lang w:eastAsia="pt-BR"/>
              </w:rPr>
              <w:t>0,990</w:t>
            </w:r>
          </w:p>
        </w:tc>
      </w:tr>
      <w:tr w:rsidR="00757793" w:rsidRPr="006C4E2F" w:rsidTr="00D5125D">
        <w:trPr>
          <w:trHeight w:val="318"/>
        </w:trPr>
        <w:tc>
          <w:tcPr>
            <w:tcW w:w="1380" w:type="dxa"/>
            <w:vMerge/>
            <w:vAlign w:val="center"/>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p>
        </w:tc>
        <w:tc>
          <w:tcPr>
            <w:tcW w:w="2204"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OBESIDADE</w:t>
            </w:r>
          </w:p>
        </w:tc>
        <w:tc>
          <w:tcPr>
            <w:tcW w:w="1076"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5</w:t>
            </w:r>
          </w:p>
        </w:tc>
        <w:tc>
          <w:tcPr>
            <w:tcW w:w="2622" w:type="dxa"/>
            <w:tcBorders>
              <w:top w:val="nil"/>
              <w:lef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24,5</w:t>
            </w:r>
          </w:p>
        </w:tc>
        <w:tc>
          <w:tcPr>
            <w:tcW w:w="987" w:type="dxa"/>
            <w:vMerge/>
            <w:tcBorders>
              <w:left w:val="nil"/>
              <w:righ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FF0000"/>
                <w:lang w:eastAsia="pt-BR"/>
              </w:rPr>
            </w:pPr>
          </w:p>
        </w:tc>
      </w:tr>
      <w:tr w:rsidR="00757793" w:rsidRPr="006C4E2F" w:rsidTr="00D5125D">
        <w:trPr>
          <w:trHeight w:val="318"/>
        </w:trPr>
        <w:tc>
          <w:tcPr>
            <w:tcW w:w="1380" w:type="dxa"/>
            <w:vMerge w:val="restart"/>
            <w:tcBorders>
              <w:top w:val="nil"/>
            </w:tcBorders>
            <w:shd w:val="clear" w:color="000000" w:fill="FFFFFF"/>
            <w:vAlign w:val="center"/>
            <w:hideMark/>
          </w:tcPr>
          <w:p w:rsidR="00757793" w:rsidRPr="006C4E2F" w:rsidRDefault="00757793" w:rsidP="00D5125D">
            <w:pPr>
              <w:spacing w:after="0" w:line="240" w:lineRule="auto"/>
              <w:rPr>
                <w:rFonts w:ascii="Garamond" w:eastAsia="Times New Roman" w:hAnsi="Garamond" w:cs="Calibri"/>
                <w:color w:val="000000"/>
                <w:lang w:eastAsia="pt-BR"/>
              </w:rPr>
            </w:pPr>
            <w:r w:rsidRPr="006C4E2F">
              <w:rPr>
                <w:rFonts w:ascii="Garamond" w:eastAsia="Times New Roman" w:hAnsi="Garamond" w:cs="Calibri"/>
                <w:color w:val="000000"/>
                <w:lang w:eastAsia="pt-BR"/>
              </w:rPr>
              <w:t>Abdominal Mod.</w:t>
            </w:r>
          </w:p>
        </w:tc>
        <w:tc>
          <w:tcPr>
            <w:tcW w:w="672" w:type="dxa"/>
            <w:vMerge w:val="restart"/>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Mas.</w:t>
            </w:r>
          </w:p>
        </w:tc>
        <w:tc>
          <w:tcPr>
            <w:tcW w:w="2204"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EUTROFIA</w:t>
            </w:r>
          </w:p>
        </w:tc>
        <w:tc>
          <w:tcPr>
            <w:tcW w:w="1076"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258</w:t>
            </w:r>
          </w:p>
        </w:tc>
        <w:tc>
          <w:tcPr>
            <w:tcW w:w="2622" w:type="dxa"/>
            <w:tcBorders>
              <w:top w:val="nil"/>
              <w:left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26,5</w:t>
            </w:r>
          </w:p>
        </w:tc>
        <w:tc>
          <w:tcPr>
            <w:tcW w:w="987" w:type="dxa"/>
            <w:vMerge w:val="restart"/>
            <w:tcBorders>
              <w:top w:val="nil"/>
              <w:left w:val="nil"/>
              <w:righ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FF0000"/>
                <w:lang w:eastAsia="pt-BR"/>
              </w:rPr>
            </w:pPr>
            <w:r w:rsidRPr="006C4E2F">
              <w:rPr>
                <w:rFonts w:ascii="Garamond" w:eastAsia="Times New Roman" w:hAnsi="Garamond" w:cs="Calibri"/>
                <w:color w:val="FF0000"/>
                <w:lang w:eastAsia="pt-BR"/>
              </w:rPr>
              <w:t>0,009*</w:t>
            </w:r>
          </w:p>
        </w:tc>
      </w:tr>
      <w:tr w:rsidR="00757793" w:rsidRPr="006C4E2F" w:rsidTr="00D5125D">
        <w:trPr>
          <w:trHeight w:val="318"/>
        </w:trPr>
        <w:tc>
          <w:tcPr>
            <w:tcW w:w="1380" w:type="dxa"/>
            <w:vMerge/>
            <w:vAlign w:val="center"/>
            <w:hideMark/>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p>
        </w:tc>
        <w:tc>
          <w:tcPr>
            <w:tcW w:w="2204"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OBESIDADE</w:t>
            </w:r>
          </w:p>
        </w:tc>
        <w:tc>
          <w:tcPr>
            <w:tcW w:w="1076" w:type="dxa"/>
            <w:tcBorders>
              <w:top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17</w:t>
            </w:r>
          </w:p>
        </w:tc>
        <w:tc>
          <w:tcPr>
            <w:tcW w:w="2622" w:type="dxa"/>
            <w:tcBorders>
              <w:top w:val="nil"/>
              <w:lef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18,9</w:t>
            </w:r>
          </w:p>
        </w:tc>
        <w:tc>
          <w:tcPr>
            <w:tcW w:w="987" w:type="dxa"/>
            <w:vMerge/>
            <w:tcBorders>
              <w:left w:val="nil"/>
              <w:righ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FF0000"/>
                <w:lang w:eastAsia="pt-BR"/>
              </w:rPr>
            </w:pPr>
          </w:p>
        </w:tc>
      </w:tr>
      <w:tr w:rsidR="00757793" w:rsidRPr="006C4E2F" w:rsidTr="00D5125D">
        <w:trPr>
          <w:trHeight w:val="318"/>
        </w:trPr>
        <w:tc>
          <w:tcPr>
            <w:tcW w:w="1380" w:type="dxa"/>
            <w:vMerge/>
            <w:vAlign w:val="center"/>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Fem.</w:t>
            </w:r>
          </w:p>
        </w:tc>
        <w:tc>
          <w:tcPr>
            <w:tcW w:w="2204"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EUTROFIA</w:t>
            </w:r>
          </w:p>
        </w:tc>
        <w:tc>
          <w:tcPr>
            <w:tcW w:w="1076"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139</w:t>
            </w:r>
          </w:p>
        </w:tc>
        <w:tc>
          <w:tcPr>
            <w:tcW w:w="2622" w:type="dxa"/>
            <w:tcBorders>
              <w:top w:val="nil"/>
              <w:lef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22,06</w:t>
            </w:r>
          </w:p>
        </w:tc>
        <w:tc>
          <w:tcPr>
            <w:tcW w:w="987" w:type="dxa"/>
            <w:vMerge w:val="restart"/>
            <w:tcBorders>
              <w:left w:val="nil"/>
              <w:righ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FF0000"/>
                <w:lang w:eastAsia="pt-BR"/>
              </w:rPr>
            </w:pPr>
            <w:r w:rsidRPr="006C4E2F">
              <w:rPr>
                <w:rFonts w:ascii="Garamond" w:eastAsia="Times New Roman" w:hAnsi="Garamond" w:cs="Calibri"/>
                <w:color w:val="000000"/>
                <w:lang w:eastAsia="pt-BR"/>
              </w:rPr>
              <w:t>0,068</w:t>
            </w:r>
          </w:p>
        </w:tc>
      </w:tr>
      <w:tr w:rsidR="00757793" w:rsidRPr="006C4E2F" w:rsidTr="00D5125D">
        <w:trPr>
          <w:trHeight w:val="318"/>
        </w:trPr>
        <w:tc>
          <w:tcPr>
            <w:tcW w:w="1380" w:type="dxa"/>
            <w:vMerge/>
            <w:vAlign w:val="center"/>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p>
        </w:tc>
        <w:tc>
          <w:tcPr>
            <w:tcW w:w="2204"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OBESIDADE</w:t>
            </w:r>
          </w:p>
        </w:tc>
        <w:tc>
          <w:tcPr>
            <w:tcW w:w="1076" w:type="dxa"/>
            <w:tcBorders>
              <w:top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5</w:t>
            </w:r>
          </w:p>
        </w:tc>
        <w:tc>
          <w:tcPr>
            <w:tcW w:w="2622" w:type="dxa"/>
            <w:tcBorders>
              <w:top w:val="nil"/>
              <w:lef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13,2</w:t>
            </w:r>
          </w:p>
        </w:tc>
        <w:tc>
          <w:tcPr>
            <w:tcW w:w="987" w:type="dxa"/>
            <w:vMerge/>
            <w:tcBorders>
              <w:left w:val="nil"/>
              <w:righ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FF0000"/>
                <w:lang w:eastAsia="pt-BR"/>
              </w:rPr>
            </w:pPr>
          </w:p>
        </w:tc>
      </w:tr>
      <w:tr w:rsidR="00757793" w:rsidRPr="006C4E2F" w:rsidTr="00D5125D">
        <w:trPr>
          <w:trHeight w:val="318"/>
        </w:trPr>
        <w:tc>
          <w:tcPr>
            <w:tcW w:w="1380" w:type="dxa"/>
            <w:vMerge w:val="restart"/>
            <w:shd w:val="clear" w:color="000000" w:fill="FFFFFF"/>
            <w:vAlign w:val="center"/>
            <w:hideMark/>
          </w:tcPr>
          <w:p w:rsidR="00757793" w:rsidRPr="006C4E2F" w:rsidRDefault="00757793" w:rsidP="00D5125D">
            <w:pPr>
              <w:spacing w:after="0" w:line="240" w:lineRule="auto"/>
              <w:rPr>
                <w:rFonts w:ascii="Garamond" w:eastAsia="Times New Roman" w:hAnsi="Garamond" w:cs="Calibri"/>
                <w:color w:val="000000"/>
                <w:lang w:eastAsia="pt-BR"/>
              </w:rPr>
            </w:pPr>
            <w:r w:rsidRPr="006C4E2F">
              <w:rPr>
                <w:rFonts w:ascii="Garamond" w:eastAsia="Times New Roman" w:hAnsi="Garamond" w:cs="Calibri"/>
                <w:color w:val="000000"/>
                <w:lang w:eastAsia="pt-BR"/>
              </w:rPr>
              <w:t>Salto Horizontal</w:t>
            </w:r>
          </w:p>
        </w:tc>
        <w:tc>
          <w:tcPr>
            <w:tcW w:w="672"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Mas.</w:t>
            </w:r>
          </w:p>
        </w:tc>
        <w:tc>
          <w:tcPr>
            <w:tcW w:w="2204" w:type="dxa"/>
            <w:tcBorders>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EUTROFIA</w:t>
            </w:r>
          </w:p>
        </w:tc>
        <w:tc>
          <w:tcPr>
            <w:tcW w:w="1076" w:type="dxa"/>
            <w:tcBorders>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258</w:t>
            </w:r>
          </w:p>
        </w:tc>
        <w:tc>
          <w:tcPr>
            <w:tcW w:w="2622" w:type="dxa"/>
            <w:tcBorders>
              <w:left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153,5</w:t>
            </w:r>
          </w:p>
        </w:tc>
        <w:tc>
          <w:tcPr>
            <w:tcW w:w="987" w:type="dxa"/>
            <w:vMerge w:val="restart"/>
            <w:tcBorders>
              <w:left w:val="nil"/>
              <w:righ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FF0000"/>
                <w:lang w:eastAsia="pt-BR"/>
              </w:rPr>
            </w:pPr>
            <w:r w:rsidRPr="006C4E2F">
              <w:rPr>
                <w:rFonts w:ascii="Garamond" w:eastAsia="Times New Roman" w:hAnsi="Garamond" w:cs="Calibri"/>
                <w:color w:val="FF0000"/>
                <w:lang w:eastAsia="pt-BR"/>
              </w:rPr>
              <w:t>0,003*</w:t>
            </w:r>
          </w:p>
        </w:tc>
      </w:tr>
      <w:tr w:rsidR="00757793" w:rsidRPr="006C4E2F" w:rsidTr="00D5125D">
        <w:trPr>
          <w:trHeight w:val="318"/>
        </w:trPr>
        <w:tc>
          <w:tcPr>
            <w:tcW w:w="1380" w:type="dxa"/>
            <w:vMerge/>
            <w:vAlign w:val="center"/>
            <w:hideMark/>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p>
        </w:tc>
        <w:tc>
          <w:tcPr>
            <w:tcW w:w="2204"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OBESIDADE</w:t>
            </w:r>
          </w:p>
        </w:tc>
        <w:tc>
          <w:tcPr>
            <w:tcW w:w="1076" w:type="dxa"/>
            <w:tcBorders>
              <w:top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28</w:t>
            </w:r>
          </w:p>
        </w:tc>
        <w:tc>
          <w:tcPr>
            <w:tcW w:w="2622" w:type="dxa"/>
            <w:tcBorders>
              <w:top w:val="nil"/>
              <w:left w:val="nil"/>
              <w:bottom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123,6</w:t>
            </w:r>
          </w:p>
        </w:tc>
        <w:tc>
          <w:tcPr>
            <w:tcW w:w="987" w:type="dxa"/>
            <w:vMerge/>
            <w:tcBorders>
              <w:left w:val="nil"/>
              <w:right w:val="nil"/>
            </w:tcBorders>
            <w:shd w:val="clear" w:color="000000" w:fill="FFFFFF"/>
            <w:vAlign w:val="center"/>
            <w:hideMark/>
          </w:tcPr>
          <w:p w:rsidR="00757793" w:rsidRPr="006C4E2F" w:rsidRDefault="00757793" w:rsidP="00D5125D">
            <w:pPr>
              <w:spacing w:after="0" w:line="240" w:lineRule="auto"/>
              <w:jc w:val="center"/>
              <w:rPr>
                <w:rFonts w:ascii="Garamond" w:eastAsia="Times New Roman" w:hAnsi="Garamond" w:cs="Calibri"/>
                <w:color w:val="000000"/>
                <w:lang w:eastAsia="pt-BR"/>
              </w:rPr>
            </w:pPr>
          </w:p>
        </w:tc>
      </w:tr>
      <w:tr w:rsidR="00757793" w:rsidRPr="006C4E2F" w:rsidTr="00D5125D">
        <w:trPr>
          <w:trHeight w:val="318"/>
        </w:trPr>
        <w:tc>
          <w:tcPr>
            <w:tcW w:w="1380" w:type="dxa"/>
            <w:vMerge/>
            <w:vAlign w:val="center"/>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val="restart"/>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Fem.</w:t>
            </w:r>
          </w:p>
        </w:tc>
        <w:tc>
          <w:tcPr>
            <w:tcW w:w="2204" w:type="dxa"/>
            <w:tcBorders>
              <w:top w:val="nil"/>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EUTROFIA</w:t>
            </w:r>
          </w:p>
        </w:tc>
        <w:tc>
          <w:tcPr>
            <w:tcW w:w="1076" w:type="dxa"/>
            <w:tcBorders>
              <w:top w:val="nil"/>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141</w:t>
            </w:r>
          </w:p>
        </w:tc>
        <w:tc>
          <w:tcPr>
            <w:tcW w:w="2622" w:type="dxa"/>
            <w:tcBorders>
              <w:top w:val="nil"/>
              <w:left w:val="nil"/>
              <w:bottom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140,9</w:t>
            </w:r>
          </w:p>
        </w:tc>
        <w:tc>
          <w:tcPr>
            <w:tcW w:w="987" w:type="dxa"/>
            <w:vMerge w:val="restart"/>
            <w:tcBorders>
              <w:left w:val="nil"/>
              <w:righ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FF0000"/>
                <w:lang w:eastAsia="pt-BR"/>
              </w:rPr>
              <w:t>0,011*</w:t>
            </w:r>
          </w:p>
        </w:tc>
      </w:tr>
      <w:tr w:rsidR="00757793" w:rsidRPr="006C4E2F" w:rsidTr="00D5125D">
        <w:trPr>
          <w:trHeight w:val="318"/>
        </w:trPr>
        <w:tc>
          <w:tcPr>
            <w:tcW w:w="1380" w:type="dxa"/>
            <w:vMerge/>
            <w:tcBorders>
              <w:bottom w:val="single" w:sz="4" w:space="0" w:color="auto"/>
            </w:tcBorders>
            <w:vAlign w:val="center"/>
          </w:tcPr>
          <w:p w:rsidR="00757793" w:rsidRPr="006C4E2F" w:rsidRDefault="00757793" w:rsidP="00D5125D">
            <w:pPr>
              <w:spacing w:after="0" w:line="240" w:lineRule="auto"/>
              <w:rPr>
                <w:rFonts w:ascii="Garamond" w:eastAsia="Times New Roman" w:hAnsi="Garamond" w:cs="Calibri"/>
                <w:color w:val="000000"/>
                <w:lang w:eastAsia="pt-BR"/>
              </w:rPr>
            </w:pPr>
          </w:p>
        </w:tc>
        <w:tc>
          <w:tcPr>
            <w:tcW w:w="672" w:type="dxa"/>
            <w:vMerge/>
            <w:tcBorders>
              <w:bottom w:val="single" w:sz="4" w:space="0" w:color="auto"/>
            </w:tcBorders>
            <w:shd w:val="clear" w:color="000000" w:fill="FFFFFF"/>
          </w:tcPr>
          <w:p w:rsidR="00757793" w:rsidRPr="006C4E2F" w:rsidRDefault="00757793" w:rsidP="00D5125D">
            <w:pPr>
              <w:spacing w:after="0" w:line="240" w:lineRule="auto"/>
              <w:jc w:val="center"/>
              <w:rPr>
                <w:rFonts w:ascii="Garamond" w:eastAsia="Times New Roman" w:hAnsi="Garamond" w:cs="Calibri"/>
                <w:color w:val="000000"/>
                <w:lang w:eastAsia="pt-BR"/>
              </w:rPr>
            </w:pPr>
          </w:p>
        </w:tc>
        <w:tc>
          <w:tcPr>
            <w:tcW w:w="2204" w:type="dxa"/>
            <w:tcBorders>
              <w:top w:val="nil"/>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OBESIDADE</w:t>
            </w:r>
          </w:p>
        </w:tc>
        <w:tc>
          <w:tcPr>
            <w:tcW w:w="1076" w:type="dxa"/>
            <w:tcBorders>
              <w:top w:val="nil"/>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5</w:t>
            </w:r>
          </w:p>
        </w:tc>
        <w:tc>
          <w:tcPr>
            <w:tcW w:w="2622" w:type="dxa"/>
            <w:tcBorders>
              <w:top w:val="nil"/>
              <w:left w:val="nil"/>
              <w:bottom w:val="single" w:sz="4" w:space="0" w:color="auto"/>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r w:rsidRPr="006C4E2F">
              <w:rPr>
                <w:rFonts w:ascii="Garamond" w:eastAsia="Times New Roman" w:hAnsi="Garamond" w:cs="Calibri"/>
                <w:color w:val="000000"/>
                <w:lang w:eastAsia="pt-BR"/>
              </w:rPr>
              <w:t>116,6</w:t>
            </w:r>
          </w:p>
        </w:tc>
        <w:tc>
          <w:tcPr>
            <w:tcW w:w="987" w:type="dxa"/>
            <w:vMerge/>
            <w:tcBorders>
              <w:left w:val="nil"/>
              <w:bottom w:val="single" w:sz="4" w:space="0" w:color="auto"/>
              <w:right w:val="nil"/>
            </w:tcBorders>
            <w:shd w:val="clear" w:color="000000" w:fill="FFFFFF"/>
            <w:vAlign w:val="center"/>
          </w:tcPr>
          <w:p w:rsidR="00757793" w:rsidRPr="006C4E2F" w:rsidRDefault="00757793" w:rsidP="00D5125D">
            <w:pPr>
              <w:spacing w:after="0" w:line="240" w:lineRule="auto"/>
              <w:jc w:val="center"/>
              <w:rPr>
                <w:rFonts w:ascii="Garamond" w:eastAsia="Times New Roman" w:hAnsi="Garamond" w:cs="Calibri"/>
                <w:color w:val="000000"/>
                <w:lang w:eastAsia="pt-BR"/>
              </w:rPr>
            </w:pPr>
          </w:p>
        </w:tc>
      </w:tr>
    </w:tbl>
    <w:p w:rsidR="00757793" w:rsidRPr="006C4E2F" w:rsidRDefault="00757793" w:rsidP="00757793">
      <w:pPr>
        <w:rPr>
          <w:rFonts w:ascii="Garamond" w:hAnsi="Garamond"/>
          <w:sz w:val="24"/>
          <w:szCs w:val="24"/>
        </w:rPr>
      </w:pPr>
      <w:r w:rsidRPr="006C4E2F">
        <w:rPr>
          <w:rFonts w:ascii="Garamond" w:hAnsi="Garamond"/>
          <w:sz w:val="24"/>
          <w:szCs w:val="24"/>
        </w:rPr>
        <w:t>*P&lt;0,05 (nível de significância)</w:t>
      </w:r>
    </w:p>
    <w:p w:rsidR="00A47EAE" w:rsidRPr="006C4E2F" w:rsidRDefault="00A47EAE" w:rsidP="00757793">
      <w:pPr>
        <w:spacing w:line="480" w:lineRule="auto"/>
        <w:jc w:val="both"/>
        <w:rPr>
          <w:rFonts w:ascii="Garamond" w:hAnsi="Garamond" w:cs="Times New Roman"/>
          <w:b/>
          <w:sz w:val="24"/>
          <w:szCs w:val="24"/>
        </w:rPr>
      </w:pPr>
    </w:p>
    <w:p w:rsidR="00757793" w:rsidRPr="006C4E2F" w:rsidRDefault="00757793" w:rsidP="00757793">
      <w:pPr>
        <w:spacing w:line="480" w:lineRule="auto"/>
        <w:jc w:val="both"/>
        <w:rPr>
          <w:rFonts w:ascii="Garamond" w:hAnsi="Garamond" w:cs="Times New Roman"/>
          <w:b/>
          <w:sz w:val="24"/>
          <w:szCs w:val="24"/>
        </w:rPr>
      </w:pPr>
      <w:r w:rsidRPr="006C4E2F">
        <w:rPr>
          <w:rFonts w:ascii="Garamond" w:hAnsi="Garamond" w:cs="Times New Roman"/>
          <w:b/>
          <w:sz w:val="24"/>
          <w:szCs w:val="24"/>
        </w:rPr>
        <w:t>DISCUSSÃO</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sz w:val="24"/>
          <w:szCs w:val="24"/>
        </w:rPr>
        <w:t xml:space="preserve">Em relação ao estado nutricional verificou-se que para o sexo masculino e feminino os valores </w:t>
      </w:r>
      <w:r w:rsidRPr="006C4E2F">
        <w:rPr>
          <w:rFonts w:ascii="Garamond" w:hAnsi="Garamond"/>
          <w:sz w:val="24"/>
          <w:szCs w:val="24"/>
        </w:rPr>
        <w:t xml:space="preserve">foram semelhantes, tendo como destaque a eutrofia respectivamente (80% e 82%).  Esses resultados vão de encontro com os achados de </w:t>
      </w:r>
      <w:r w:rsidRPr="006C4E2F">
        <w:rPr>
          <w:rFonts w:ascii="Garamond" w:hAnsi="Garamond" w:cs="Times New Roman"/>
          <w:noProof/>
          <w:sz w:val="24"/>
          <w:szCs w:val="24"/>
        </w:rPr>
        <w:t>Suñé et. al. (2007) &amp; Pedraza et. al. (2016)</w:t>
      </w:r>
      <w:r w:rsidRPr="006C4E2F">
        <w:rPr>
          <w:rFonts w:ascii="Garamond" w:hAnsi="Garamond"/>
          <w:sz w:val="24"/>
          <w:szCs w:val="24"/>
        </w:rPr>
        <w:t xml:space="preserve"> </w:t>
      </w:r>
      <w:r w:rsidRPr="006C4E2F">
        <w:rPr>
          <w:rFonts w:ascii="Garamond" w:hAnsi="Garamond" w:cs="Times New Roman"/>
          <w:noProof/>
          <w:sz w:val="24"/>
          <w:szCs w:val="24"/>
        </w:rPr>
        <w:t xml:space="preserve">no qual a maioria dos investigados apresentou-se como normal, mas havendo prevalência de sobrepeso e obesidade </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"10.1590/S0102-311X2007000600011", "ISSN" : "0102-311X", "abstract" : "&lt;p&gt;Foi realizado um estudo transversal com o objetivo de determinar a preval\u00eancia de sobrepeso e obesidade e os fatores associados ao excesso de peso corporal, em um grupo de escolares de 11 a 13 anos, residentes em Cap\u00e3o da Canoa, Rio Grande do Sul, Brasil. A t\u00e9cnica de amostragem utilizada foi estratificada, proporcional ao n\u00famero de alunos de cada escola. O estado nutricional foi avaliado mediante os pontos de corte do \u00edndice de massa corporal (IMC) de acordo com a idade e o sexo, propostos por Cole et al. no ano 2000. Foram analisadas vari\u00e1veis s\u00f3cio-econ\u00f4micas, demogr\u00e1ficas, gen\u00e9ticas e comportamentais. Foram entrevistados 719 escolares em 11 escolas, destes, 541 (75,2%) apresentaram IMC considerado normal, 153 (21,3%) escolares apresentaram sobrepeso e 25 (3,5%) obesidade. Encontrou-se associa\u00e7\u00e3o estatisticamente significativa com tipo de escola, estado nutricional dos pais, n\u00edvel de atividade f\u00edsica e tempo de conduta sedent\u00e1ria. A preval\u00eancia de sobrepeso e obesidade encontrada nos escolares avaliados mostrou-se elevada (24,8%), e, de acordo com a encontrada na literatura, confirmando a magnitude e gravidade que o problema assumiu entre os escolares de todo o Brasil.&lt;/p&gt;", "author" : [ { "dropping-particle" : "", "family" : "Su\u00f1\u00e9", "given" : "Fabio Rodrigo", "non-dropping-particle" : "", "parse-names" : false, "suffix" : "" }, { "dropping-particle" : "", "family" : "Dias-da-Costa", "given" : "Juvenal Soares", "non-dropping-particle" : "", "parse-names" : false, "suffix" : "" }, { "dropping-particle" : "", "family" : "Olinto", "given" : "Maria Teresa Anselmo", "non-dropping-particle" : "", "parse-names" : false, "suffix" : "" }, { "dropping-particle" : "", "family" : "Pattussi", "given" : "Marcos Pascoal", "non-dropping-particle" : "", "parse-names" : false, "suffix" : "" } ], "container-title" : "Cadernos de Sa\u00fade P\u00fablica", "id" : "ITEM-1", "issue" : "6", "issued" : { "date-parts" : [ [ "2007" ] ] }, "page" : "1361-1371", "title" : "Preval\u00eancia e fatores associados para sobrepeso e obesidade em escolares de uma cidade no Sul do Brasil", "type" : "article-journal", "volume" : "23" }, "uris" : [ "http://www.mendeley.com/documents/?uuid=b9ad0352-16e5-48e4-9556-d755d28c6e3f" ] }, { "id" : "ITEM-2", "itemData" : { "DOI" : "10.1590/1413-81232017222.26252015", "ISSN" : "1413-8123", "abstract" : "&lt;p&gt;Resumo Avaliou-se o estado nutricional e sua associa\u00e7\u00e3o com os h\u00e1bitos alimentares de crian\u00e7as escolares que frequentam a rede p\u00fablica de ensino do munic\u00edpio de Campina Grande, Para\u00edba. Estudo transversal, realizado com 1081 crian\u00e7as de 5 a 10 anos. Analisaram-se os \u00edndices antropom\u00e9tricos estatura/idade (E/I) e \u00cdndice de Massa Corporal/idade (IMC/I), e os h\u00e1bitos alimentares dos escolares. Verificaram-se preval\u00eancias de d\u00e9ficit de estatura, sobrepeso e obesidade de 2,4%, 12,3% e 9,2%, respectivamente. O E/I apresentou-se com m\u00e9dia inferior (p = 0,029) nas crian\u00e7as que indicaram quase nunca tomar caf\u00e9 da manh\u00e3 (-0,130 \u00b1 1,053 Escore-z) em compara\u00e7\u00e3o com as que faziam essa refei\u00e7\u00e3o todas ou na maioria das vezes (0,183 \u00b1 0,912 Escore-z), associa\u00e7\u00e3o similar foi observada quando a merenda escolar n\u00e3o era consumida (p = 0,001). Para o IMC/I, crian\u00e7as com h\u00e1bito de fazer todas as refei\u00e7\u00f5es apresentaram menor m\u00e9dia (p = 0,034); resultado similar foi observado em rela\u00e7\u00e3o ao h\u00e1bito de tomar caf\u00e9 da manh\u00e3 em que menor m\u00e9dia foi constatada entre as crian\u00e7as com esse costume (p = 0,020). Conclui-se que o estado nutricional dos escolares \u00e9 marcado por altas taxas de sobrepeso/obesidade. Sugere-se que os preju\u00edzos no estado nutricional estejam relacionados ao n\u00e3o consumo do caf\u00e9 da manh\u00e3 e da alimenta\u00e7\u00e3o oferecida na escola.&lt;/p&gt;", "author" : [ { "dropping-particle" : "", "family" : "Pedraza", "given" : "Dixis Figueroa", "non-dropping-particle" : "", "parse-names" : false, "suffix" : "" }, { "dropping-particle" : "", "family" : "Silva", "given" : "Franciely Albuquerque", "non-dropping-particle" : "", "parse-names" : false, "suffix" : "" }, { "dropping-particle" : "de", "family" : "Melo", "given" : "Nadinne L\u00edvia Silva", "non-dropping-particle" : "", "parse-names" : false, "suffix" : "" }, { "dropping-particle" : "", "family" : "Araujo", "given" : "Erika Morganna Neves", "non-dropping-particle" : "", "parse-names" : false, "suffix" : "" }, { "dropping-particle" : "", "family" : "Sousa", "given" : "Carolina Pereira da Cunha", "non-dropping-particle" : "", "parse-names" : false, "suffix" : "" } ], "container-title" : "Ci\u00eancia &amp; Sa\u00fade Coletiva", "id" : "ITEM-2", "issue" : "2", "issued" : { "date-parts" : [ [ "2017" ] ] }, "page" : "469-477", "title" : "Estado nutricional e h\u00e1bitos alimentares de escolares de Campina Grande, Para\u00edba, Brasil", "type" : "article-journal", "volume" : "22" }, "uris" : [ "http://www.mendeley.com/documents/?uuid=1e259a4b-bec0-46f6-8f37-59a6de9604f3" ] } ], "mendeley" : { "formattedCitation" : "(21,22)", "plainTextFormattedCitation" : "(21,22)", "previouslyFormattedCitation" : "(21,22)"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(21,22)</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 xml:space="preserve">Em contrapartida, no estudo de Pegolo e Silva (2008) &amp; Freitas et. al. (2011) foi observado que 10,7% dos escolares encontraram-se com baixo peso tendo um resultado maior comparado com o estado de obesidade. Estudos  também apontam que de acordo com o avanço da idade os problemas de desnutrição pregressa e sobrepeso  aumentaram </w:t>
      </w:r>
      <w:r w:rsidRPr="006C4E2F">
        <w:rPr>
          <w:rFonts w:ascii="Garamond" w:hAnsi="Garamond"/>
          <w:sz w:val="24"/>
          <w:szCs w:val="24"/>
        </w:rPr>
        <w:fldChar w:fldCharType="begin" w:fldLock="1"/>
      </w:r>
      <w:r w:rsidRPr="006C4E2F">
        <w:rPr>
          <w:rFonts w:ascii="Garamond" w:hAnsi="Garamond"/>
          <w:sz w:val="24"/>
          <w:szCs w:val="24"/>
        </w:rPr>
        <w:instrText>ADDIN CSL_CITATION { "citationItems" : [ { "id" : "ITEM-1", "itemData" : { "ISSN" : "1519-8928", "abstract" : "A pesquisa visou avaliar o estado nutricional de escolares da rede p\u00fablica de ensino do munic\u00edpio de Piedade, Estado de S\u00e3o Paulo. A amostra foi constitu\u00edda por 150 escolares, de ambos os g\u00eaneros, com idade entre 7 e 14 anos. Para a an\u00e1lise da situa\u00e7\u00e3o nutricional, foram utilizadas as medidas antropom\u00e9tricas de peso e altura. Os resultados mostraram que a propor\u00e7\u00e3o de 4% de escolares foi classificada com indicativo de d\u00e9ficit de altura, percentual considerado superior ao esperado (2,3%). No intervalo (\u22122 \u2264 ZAI &lt; \u22121) que discrimina os escolares com indicativo de comprometimento da altura, foram identificados 19,3%, enquanto a propor\u00e7\u00e3o esperada \u00e9 13,6%. Quanto \u00e0s an\u00e1lises do IMC, foram observados 10,7% de escolares com baixo peso, enquanto na situa\u00e7\u00e3o oposta (obesidade) a propor\u00e7\u00e3o verificada alcan\u00e7ou 1,6% dos integrantes da amostra. Os resultados obtidos diferem daqueles observados quando s\u00e3o examinados os dados entre estudantes, tamb\u00e9m matriculados na rede p\u00fablica de ensino, de substancial n\u00famero de munic\u00edpios paulistas. Nesta pesquisa, a propor\u00e7\u00e3o de escolares classificados com baixo peso supera a preval\u00eancia de escolares com obesidade. An\u00e1lises que envolvam, al\u00e9m da popula\u00e7\u00e3o urbana, tamb\u00e9m aquela moradora do meio rural, tornam-se valiosas por constitu\u00edrem subs\u00eddios para o planejamento de a\u00e7\u00f5es efetivas de sa\u00fade p\u00fablica. Palavras-Chave: antropometria, escolares, estado nutricional, obesidade", "author" : [ { "dropping-particle" : "", "family" : "Nutricional De Escolares", "given" : "Estado", "non-dropping-particle" : "", "parse-names" : false, "suffix" : "" }, { "dropping-particle" : "", "family" : "Pegolo", "given" : "Giovana Eliza", "non-dropping-particle" : "", "parse-names" : false, "suffix" : "" }, { "dropping-particle" : "", "family" : "Vieira", "given" : "Marina", "non-dropping-particle" : "", "parse-names" : false, "suffix" : "" }, { "dropping-particle" : "", "family" : "Silva", "given" : "Da", "non-dropping-particle" : "", "parse-names" : false, "suffix" : "" } ], "container-title" : "Seguran\u00e7a Alimentar e Nutricional", "id" : "ITEM-1", "issue" : "1", "issued" : { "date-parts" : [ [ "2008" ] ] }, "page" : "76-85", "title" : "Estado Nutricional de Escolares da Rede P\u00fablica de Ensino de Piedade, SP *", "type" : "article-journal", "volume" : "15" }, "uris" : [ "http://www.mendeley.com/documents/?uuid=1151a8ee-d6f1-4bcc-b978-f548f3b9ef4b" ] }, { "id" : "ITEM-2", "itemData" : { "author" : [ { "dropping-particle" : "", "family" : "Freitas", "given" : "Anderson Andr\u00e9 Santos", "non-dropping-particle" : "", "parse-names" : false, "suffix" : "" }, { "dropping-particle" : "", "family" : "Le\u00e3o", "given" : "Daurimar Pinheiro", "non-dropping-particle" : "", "parse-names" : false, "suffix" : "" }, { "dropping-particle" : "", "family" : "Vasques", "given" : "Yuri Gabriel Sanches", "non-dropping-particle" : "", "parse-names" : false, "suffix" : "" }, { "dropping-particle" : "", "family" : "Pereira", "given" : "Klenede", "non-dropping-particle" : "", "parse-names" : false, "suffix" : "" }, { "dropping-particle" : "", "family" : "Ferreira", "given" : "Ivan de Jesus", "non-dropping-particle" : "", "parse-names" : false, "suffix" : "" } ], "id" : "ITEM-2", "issue" : "2005", "issued" : { "date-parts" : [ [ "2011" ] ] }, "page" : "13-18", "title" : "ESTADO NUTRICIONAL DE CRIAN\u00c7AS E ADOLESCENTES DO MUNIC\u00cdPIO DE PRESIDENTE FIGUEIREDO - AMAZONAS", "type" : "article-journal", "volume" : "81" }, "uris" : [ "http://www.mendeley.com/documents/?uuid=9b178fab-92da-459f-aead-19badb03dfc3" ] } ], "mendeley" : { "formattedCitation" : "(23,24)", "plainTextFormattedCitation" : "(23,24)", "previouslyFormattedCitation" : "(23,24)" }, "properties" : {  }, "schema" : "https://github.com/citation-style-language/schema/raw/master/csl-citation.json" }</w:instrText>
      </w:r>
      <w:r w:rsidRPr="006C4E2F">
        <w:rPr>
          <w:rFonts w:ascii="Garamond" w:hAnsi="Garamond"/>
          <w:sz w:val="24"/>
          <w:szCs w:val="24"/>
        </w:rPr>
        <w:fldChar w:fldCharType="separate"/>
      </w:r>
      <w:r w:rsidRPr="006C4E2F">
        <w:rPr>
          <w:rFonts w:ascii="Garamond" w:hAnsi="Garamond"/>
          <w:noProof/>
          <w:sz w:val="24"/>
          <w:szCs w:val="24"/>
        </w:rPr>
        <w:t>(23,24)</w:t>
      </w:r>
      <w:r w:rsidRPr="006C4E2F">
        <w:rPr>
          <w:rFonts w:ascii="Garamond" w:hAnsi="Garamond"/>
          <w:sz w:val="24"/>
          <w:szCs w:val="24"/>
        </w:rPr>
        <w:fldChar w:fldCharType="end"/>
      </w:r>
      <w:r w:rsidRPr="006C4E2F">
        <w:rPr>
          <w:rFonts w:ascii="Garamond" w:hAnsi="Garamond"/>
          <w:sz w:val="24"/>
          <w:szCs w:val="24"/>
        </w:rPr>
        <w:t xml:space="preserve">.  </w:t>
      </w: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 xml:space="preserve"> Em estudos que relacionaram o estado nutricional com a alimentação, identificaram que os eutróficos apresentam melhores hábitos alimentares tendo um conhecimento mais amplo sobre a nutrição e possuindo uma dieta balanceada. Porém na pesquisa de Trinches e Guiugliani (2005) os indivíduos que não possuem esse tipo de informação tem cinco vezes mais chances de se tornarem obesos. Talvez fosse</w:t>
      </w:r>
      <w:r w:rsidRPr="006C4E2F">
        <w:rPr>
          <w:rFonts w:ascii="Garamond" w:hAnsi="Garamond" w:cs="Times New Roman"/>
          <w:noProof/>
          <w:sz w:val="24"/>
          <w:szCs w:val="24"/>
        </w:rPr>
        <w:t xml:space="preserve"> necessário haver um vínculo entre a escola, os familiares e o lugar onde moram para que assim a relação entre conhecer bons hábitos alimentares e colocá-los em prática tenha um poder maior, atuando na prevenção de doenças </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"10.1590/S0103-05822010000300008", "ISBN" : "0103-0582 UL - http://www.scielo.br/scielo.php?script=sci_arttext&amp;pid=S0103-05822010000300008&amp;nrm=iso", "ISSN" : "01030582", "abstract" : "Associar o estado nutricional com os h\u00e1bitos alimentares e conhecimentos em nutri\u00e7\u00e3o de escolares da cidade Indaial, Santa Catarina", "author" : [ { "dropping-particle" : "", "family" : "Bertin", "given" : "Renata Labronici", "non-dropping-particle" : "", "parse-names" : false, "suffix" : "" }, { "dropping-particle" : "", "family" : "Malkowski", "given" : "Juliana", "non-dropping-particle" : "", "parse-names" : false, "suffix" : "" }, { "dropping-particle" : "", "family" : "Zutter", "given" : "Larissa Cristina I.", "non-dropping-particle" : "", "parse-names" : false, "suffix" : "" }, { "dropping-particle" : "", "family" : "Ulbrich", "given" : "Anderson Zampier", "non-dropping-particle" : "", "parse-names" : false, "suffix" : "" } ], "container-title" : "Revista Paulista de Pediatria.", "id" : "ITEM-1", "issue" : "3", "issued" : { "date-parts" : [ [ "2010" ] ] }, "page" : "303-308", "title" : "Estado nutricional, h\u00e1bitos alimentares e conhecimentos de nutri\u00e7\u00e3o em escolares", "type" : "article-journal", "volume" : "28" }, "uris" : [ "http://www.mendeley.com/documents/?uuid=66008343-da2a-4881-b3d2-0643d232ca66" ] }, { "id" : "ITEM-2", "itemData" : { "abstract" : "OBJETIVOS: caracterizar o estado nutricional e consumo alimentar de adolescentes da rede p\u00fablica de ensino de S\u00e3o Mateus do Sul, Paran\u00e1, Brasil. M\u00c9TODOS: o \u00cdndice de Massa Corporal foi calculado e classificado pela proposta da Organiza\u00e7\u00e3o Mundial da Sa\u00fade. O consumo alimentar foi obtido pelo Question\u00e1rio de Freq\u00fc\u00eancia de Consumo Alimentar. Foi utilizada an\u00e1lise descritiva, de freq\u00fc\u00eancia e teste t de Student com p&lt;0,05. RESULTADOS: a maioria dos indiv\u00edduos apresentou estado nutricional normal (84% eutr\u00f3ficos, 12% sobrepeso/obesidade e 4% baixo peso). A dieta caracterizou-se por consumo energ\u00e9tico adequado, com distribui\u00e7\u00e3o de macronutrientes de acordo com as recomenda\u00e7\u00f5es, sendo maior nos meninos do que nas meninas. Noventa por cento dos adolescentes consumiam \u00e1cidos graxos em excesso. Verificou-se consumo adequado de vitamina C (287 mg meninos e 328 mg meninas) e ferro (27 e 21 mg, respectivamente). O consumo de ferro diferiu estatisticamente entre os sexos (t=3,765; p&lt;0,001). CONCLUS\u00d5ES: as anormalidades encontradas na alimenta\u00e7\u00e3o evidenciam a necessidade de conhecer e avaliar o tipo de alimenta\u00e7\u00e3o oferecida aos alunos, a fim de elaborar estrat\u00e9gias de interven\u00e7\u00e3o dentro e fora das escolas, al\u00e9m de auxiliar a preven\u00e7\u00e3o de problemas de sa\u00fade relacionados \u00e0 alimenta\u00e7\u00e3o.", "author" : [ { "dropping-particle" : "", "family" : "Bertin", "given" : "Renata Labronici", "non-dropping-particle" : "", "parse-names" : false, "suffix" : "" }, { "dropping-particle" : "", "family" : "Noemberg", "given" : "Elisa", "non-dropping-particle" : "", "parse-names" : false, "suffix" : "" }, { "dropping-particle" : "", "family" : "Karkle", "given" : "Lazzari", "non-dropping-particle" : "", "parse-names" : false, "suffix" : "" }, { "dropping-particle" : "", "family" : "Ulbrich", "given" : "Anderson Zampier", "non-dropping-particle" : "", "parse-names" : false, "suffix" : "" }, { "dropping-particle" : "", "family" : "Neto", "given" : "Ant\u00f4nio Stabelini", "non-dropping-particle" : "", "parse-names" : false, "suffix" : "" }, { "dropping-particle" : "", "family" : "Bozza", "given" : "Rodrigo", "non-dropping-particle" : "", "parse-names" : false, "suffix" : "" }, { "dropping-particle" : "", "family" : "Araujo", "given" : "Italo Quenni", "non-dropping-particle" : "", "parse-names" : false, "suffix" : "" } ], "id" : "ITEM-2", "issue" : "4", "issued" : { "date-parts" : [ [ "2008" ] ] }, "page" : "435-443", "title" : "Estado nutricional e consumo alimentar de adolescentes da rede p\u00fablica de ensino da cidade de S\u00e3o Mateus do Sul , Paran\u00e1 , Brasil The nutritional status and dietary intake of adolescents in public schools in the city of S\u00e3o Mateus do Sul , in the State of", "type" : "article-journal", "volume" : "8" }, "uris" : [ "http://www.mendeley.com/documents/?uuid=86edbae3-5c12-4f41-997c-a8c49560cde5" ] }, { "id" : "ITEM-3", "itemData" : { "DOI" : "10.1590/S0034-89102005000400004", "ISBN" : "0034-8910", "ISSN" : "00348910", "PMID" : "17347524", "abstract" : "Baseado na disserta\u00e7\u00e3o de mestrado apresentada ao Departamento de P\u00f3s-Gradua\u00e7\u00e3o em Epidemiologia da Universidade Federal do Rio Grande do Sul, em 2004. Recebido em 5/5/2004. Reapresentado em 31/1/2005. Aprovado em 17/3/2005. Resumo Objetivo Avaliar a associa\u00e7\u00e3o da obesidade com as pr\u00e1ticas alimentares e conhecimentos de nutri\u00e7\u00e3o em escolares. M\u00e9todos Peso e estatura foram medidos em 573 crian\u00e7as de todas as escolas municipais de Dois Irm\u00e3os e Morro Reuter, RS. Obesidade foi definida como \u00edndice de massa corporal acima do percentil 95, tendo como refer\u00eancia os dados do National Center for Health Statistics. Pr\u00e1ticas alimentares e conhecimentos em nutri\u00e7\u00e3o foram avaliados por question\u00e1rio auto-aplicado aos escolares. Foi realizada an\u00e1lise de regress\u00e3o log\u00edstica simples e ajustada para verificar associa\u00e7\u00f5es. Resultados A obesidade mostrou-se associada com menos conhecimento de nutri\u00e7\u00e3o e pr\u00e1ticas alimentares menos saud\u00e1veis. Crian\u00e7as com essas caracter\u00edsticas apresentaram cinco vezes mais chances de serem obesas (OR=5,3;1,1-24,9). Conclus\u00f5es O n\u00edvel de conhecimento modifica a rela\u00e7\u00e3o entre obesidade e pr\u00e1ticas alimentares, levantando a suspeita de que as crian\u00e7as que sabem mais sobre nutri\u00e7\u00e3o relatam pr\u00e1ticas sabidamente mais saud\u00e1veis e n\u00e3o necessariamente as praticadas. As pr\u00e1ticas alimentares menos saud\u00e1veis, quando considerado o n\u00edvel de conhecimento em nutri\u00e7\u00e3o dos escolares, foram fortemente associadas \u00e0 obesidade. Abstract Objective To evaluate the association between obesity and eating habits and nutritional knowledge among schoolchildren. Methods Weight and height were measured in 573 schoolchildren of public schools in two cities of State of Rio Grande do Sul, Southern Brazil. Obesity was defined as Body Mass Index above the 95th percentile based on the National Center for Health Statistics (NCHS) criteria. Eating habits and nutrition knowledge were evaluated using a self-administered questionnaire. Simple and adjusted logistic regression models were used to assess associations.", "author" : [ { "dropping-particle" : "", "family" : "Triches", "given" : "Rozane M\u00e1rcia", "non-dropping-particle" : "", "parse-names" : false, "suffix" : "" }, { "dropping-particle" : "", "family" : "Giugliani", "given" : "Elsa Regina Justo", "non-dropping-particle" : "", "parse-names" : false, "suffix" : "" } ], "container-title" : "Revista de Sa\u00fade P\u00fablica", "id" : "ITEM-3", "issue" : "4", "issued" : { "date-parts" : [ [ "2005" ] ] }, "page" : "541-547", "title" : "Obesidade, pr\u00e1ticas alimentares e conhecimentos de nutri\u00e7\u00e3o em escolares", "type" : "article-journal", "volume" : "39" }, "uris" : [ "http://www.mendeley.com/documents/?uuid=8518d298-e44d-4ec3-8f1f-501589068afc" ] } ], "mendeley" : { "formattedCitation" : "(1,4,25)", "plainTextFormattedCitation" : "(1,4,25)", "previouslyFormattedCitation" : "(1,4,25)"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(1,4,25)</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 xml:space="preserve"> No tocante a aptidão física foi observado que no teste de sentar e alcançar, o sexo feminino mostrou resulltados maiores, no qual vão de encontro com os achados de Dórea et. al. (2008) &amp; Boelhouwer et. al. (2002), onde as meninas possuem um nível de flexibilidade melhor que os meninos atingindo os critérios da Physical Best propostos pelo estudo</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"10.1590/S1517-86922008000600004", "ISSN" : "15178692", "abstract" : "The aim of this study was to analyze the health-related physical fitness (HRPF) in students from Jequi\u00e9, BA, Brazil. Therefore, the HRPF of 182 boys and 160 girls aged 7-12 years, students from public schools, was assessed by the application of 9-minute-run/walk (indicator of cardiorespiratory capacity), modified in one minute abdominal (indicator of abdominal strength and endurance), sit-and-reach (indicator of flexibility) motor tests. The sum of the triciptal and subscapular skinfolds thickness was used as indicator of body fat. The results found indicated higher prevalence of boys and girls below (19% and 49%, respectively) than above (3% and 1%, respectively) the criteria established by the AAHPERD (1988) for indicators of body fat. Conversely, only 51% of the boys and 58% of the girls in the sit-and-reach; 11% and 7%, respectively, in the modified in one minute abdominal; and 15% and 14%, respectively, in the 9-minute-run/walk reached the established criteria. Thus, the results suggest that effective intervention programs seem necessary for the promotion of alterations in the nutritional status as well as habitual physical activity of students from Jequi\u00e9.", "author" : [ { "dropping-particle" : "", "family" : "D\u00f3rea", "given" : "Valfredo", "non-dropping-particle" : "", "parse-names" : false, "suffix" : "" }, { "dropping-particle" : "", "family" : "Ronque", "given" : "Enio Ricardo Vaz", "non-dropping-particle" : "", "parse-names" : false, "suffix" : "" }, { "dropping-particle" : "", "family" : "Cyrino", "given" : "Edilson Serpeloni", "non-dropping-particle" : "", "parse-names" : false, "suffix" : "" }, { "dropping-particle" : "", "family" : "Serassuelo", "given" : "Helio", "non-dropping-particle" : "", "parse-names" : false, "suffix" : "" }, { "dropping-particle" : "", "family" : "Gobbo", "given" : "Lu\u00eds Alberto", "non-dropping-particle" : "", "parse-names" : false, "suffix" : "" }, { "dropping-particle" : "", "family" : "Carvalho", "given" : "Ferdinando Oliveira", "non-dropping-particle" : "", "parse-names" : false, "suffix" : "" }, { "dropping-particle" : "", "family" : "Souza", "given" : "Carine Ferreira", "non-dropping-particle" : "de", "parse-names" : false, "suffix" : "" }, { "dropping-particle" : "", "family" : "Melo", "given" : "Juliana Cordeiro", "non-dropping-particle" : "de", "parse-names" : false, "suffix" : "" }, { "dropping-particle" : "", "family" : "Gaion", "given" : "Patr\u00edcia Aparecida", "non-dropping-particle" : "", "parse-names" : false, "suffix" : "" } ], "container-title" : "Revista Brasileira de Medicina do Esporte", "id" : "ITEM-1", "issue" : "6", "issued" : { "date-parts" : [ [ "2008" ] ] }, "page" : "494-499", "title" : "Aptid\u00e3o f\u00edsica relacionada \u00e0 sa\u00fade em escolares de Jequi\u00e9, BA, Brasil", "type" : "article-journal", "volume" : "14" }, "uris" : [ "http://www.mendeley.com/documents/?uuid=c8990990-d65d-4100-9a24-62a361a62336" ] }, { "id" : "ITEM-2", "itemData" : { "abstract" : "O estudo teve como objetivo analisar os n\u00edveis de aptid\u00e3o f\u00edsica relacionada \u00e0 sa\u00fade de escolares de 11 a 14 anos, de ambos os sexos, pertencentes a uma escola p\u00fablica de Marechal C\u00e2ndido Rondon \u2013 Pr frente aos crit\u00e9rios propostos pelo Physical Best (1988). Participaram da amostra 113 alunos, sendo 57 rapazes e 56 mo\u00e7as, com idades variando entre 11 a 14 anos. Para obten\u00e7\u00e3o dos indicadores do peso corporal, foram obtidas as medidas de IMC, somat\u00f3rio de dobras cut\u00e2neas (tricipital e subescapular). Os testes motores sentar-e-alcan\u00e7ar, abdominal em 1 minuto, flex\u00e3o/ extens\u00e3o de bra\u00e7os em suspens\u00e3o na barra e corrida/caminhada de 1609 m foram utilizados para determina\u00e7\u00e3o dos n\u00edveis de aptid\u00e3o f\u00edsica. Para o tratamento estat\u00edstico dos dados, foi utilizado an\u00e1lise da freq\u00fc\u00eancia relativa do alcance dos crit\u00e9rios propos- tos. Os resultados demonstraram ser satisfat\u00f3rios para a maioria dos escolares de ambos os sexos, apresentando elevados \u00edndices nos crit\u00e9rios de sa\u00fade para o IMC e somat\u00f3rio de dobras cut\u00e2neas. Para os componentes de for\u00e7a e resist\u00eancia musculares, os resultados do teste abdominal apresentou os menores \u00edndices de alcance dos crit\u00e9- rios exigidos, com rela\u00e7\u00e3o aos demais testes para ambos os sexos e em todas as idades. Quanto ao teste de for\u00e7a de membros superiores, ambos os sexos alcan\u00e7aram em todas as idades mais de 90% do crit\u00e9rio exigido. Com rela\u00e7\u00e3o ao teste de corrida/caminhada, os resultados tamb\u00e9m foram baixos para ambos os sexos. Apenas as mo\u00e7as com idades 12 e 14 anos alcan\u00e7aram os \u00edndices mais elevados, sendo 68,8 e 58,3% respectivamen- te. Entre os rapazes, os melhores resultados aconteceram aos 12 anos, sendo de 72,7%, e nas demais idades os resultados variaram apenas entre 18 a 29% que atenderam ao crit\u00e9rio estabelecido. Quando se analisa o conjunto de testes que jovens de ambos os sexos alcan\u00e7aram simultaneamente os crit\u00e9rios para sa\u00fade, verificou-se que por volta de 35,7% das mo\u00e7as atenderam ao menos cinco dos itens, e por volta de 12,5% para o conjunto de seis itens de testes. Como apenas uma pequena parte dos jovens de ambos os sexos n\u00e3o alcan\u00e7aram os crit\u00e9rios estabelecidos em alguns itens espec\u00edficos dos testes, podendo comprometer o estado de sa\u00fade em idades mais avan\u00e7adas.", "author" : [ { "dropping-particle" : "", "family" : "Boelhouwer", "given" : "Cristiane", "non-dropping-particle" : "", "parse-names" : false, "suffix" : "" }, { "dropping-particle" : "", "family" : "Borges", "given" : "Gustavo Andr\u00e9", "non-dropping-particle" : "", "parse-names" : false, "suffix" : "" } ], "container-title" : "Caderno de Educa\u00e7\u00e3o F\u00edsica - Estudos e Reflex\u00f5es.", "id" : "ITEM-2", "issue" : "7", "issued" : { "date-parts" : [ [ "2002" ] ] }, "page" : "19-30", "title" : "Aptid\u00e3o F\u00edsica relacionada \u00e0 sa\u00fade de escolares de 11 a 14 anos de Marechal C\u00e2ndido Rondon - PR.", "type" : "article-journal", "volume" : "4" }, "uris" : [ "http://www.mendeley.com/documents/?uuid=259e79e8-01f7-4952-9a14-6884423b9de3" ] } ], "mendeley" : { "formattedCitation" : "(17,26)", "plainTextFormattedCitation" : "(17,26)", "previouslyFormattedCitation" : "(17,26)"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(17,26)</w:t>
      </w:r>
      <w:r w:rsidRPr="006C4E2F">
        <w:rPr>
          <w:rFonts w:ascii="Garamond" w:hAnsi="Garamond" w:cs="Times New Roman"/>
          <w:noProof/>
          <w:sz w:val="24"/>
          <w:szCs w:val="24"/>
        </w:rPr>
        <w:fldChar w:fldCharType="end"/>
      </w:r>
      <w:r w:rsidRPr="006C4E2F">
        <w:rPr>
          <w:rFonts w:ascii="Garamond" w:hAnsi="Garamond" w:cs="Times New Roman"/>
          <w:noProof/>
          <w:sz w:val="24"/>
          <w:szCs w:val="24"/>
        </w:rPr>
        <w:t xml:space="preserve">. </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lastRenderedPageBreak/>
        <w:t>Ainda em relação a capacaidade motora flexibilidade, Dumith et. al. (2008) encontrou resultados maiores relacionadas ao sexo feminino, não havendo diferença se os individuos são de escolas públicas ou privadas. Porém ao associar essa capacidade com a idade cronológica  os resultados não foram considerados bons</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"10.1590/S1517-86922008000500011", "ISSN" : "1517-8692", "abstract" : "Embora os benef\u00edcios da aptid\u00e3o f\u00edsica sobre a sa\u00fade e preven\u00e7\u00e3o de doen\u00e7as estejam amplamente relatados na literatura, existem poucas investiga\u00e7\u00f5es sobre esse tema, principalmente com crian\u00e7as e adolescentes. Portanto, o objetivo do presente estudo foi analisar os componentes de aptid\u00e3o f\u00edsica relacionada \u00e0 sa\u00fade (AFRS) de acordo com caracter\u00edsticas como sexo, idade, rede de ensino (p\u00fablica ou privada) e \u00e1rea geogr\u00e1fica (rural ou urbana), em indiv\u00edduos de sete a 15 anos de idade. Os dados coletados fazem parte do Projeto Esporte Brasil (Proesp-BR), e os componentes de AFRS avaliados foram: \u00edndice de massa corporal (IMC), flexibilidade (teste de \"sentar-e-alcan\u00e7ar\"), resist\u00eancia muscular localizada (RML) (teste de abdominal em um minuto) e capacidade aer\u00f3bia (teste de corrida de nove minutos). A amostra foi composta por 665 escolares do ensino fundamental do munic\u00edpio de Rio Grande, Rio Grande do Sul (RS), selecionados de maneira aleat\u00f3ria. Para a compara\u00e7\u00e3o das m\u00e9dias das medidas e testes conforme as vari\u00e1veis independentes, utilizou-se o m\u00e9todo de regress\u00e3o linear simples e multivari\u00e1vel. Dentre os principais achados, destaca-se que os componentes de AFRS estiveram mais associados com caracter\u00edsticas biol\u00f3gicas (sexo e idade), sem diferen\u00e7as expressivas por rede de ensino ou \u00e1rea geogr\u00e1fica da escola (indicadores de n\u00edvel socioecon\u00f4mico). Outros estudos s\u00e3o necess\u00e1rios para o estabelecimento de par\u00e2metros de refer\u00eancia nacionais de AFRS de crian\u00e7as e adolescentes.", "author" : [ { "dropping-particle" : "", "family" : "Dumith", "given" : "Samuel de Carvalho", "non-dropping-particle" : "", "parse-names" : false, "suffix" : "" }, { "dropping-particle" : "", "family" : "J\u00fanior", "given" : "Mario Renato Azevedo", "non-dropping-particle" : "", "parse-names" : false, "suffix" : "" }, { "dropping-particle" : "", "family" : "Rombaldi", "given" : "Airton Jos\u00e9", "non-dropping-particle" : "", "parse-names" : false, "suffix" : "" } ], "container-title" : "Revista Brasileira de Medicina do Esporte.", "id" : "ITEM-1", "issue" : "5", "issued" : { "date-parts" : [ [ "2008" ] ] }, "page" : "454-459", "title" : "Aptid\u00e3o f\u00edsica relacionada \u00e0 sa\u00fade de alunos do ensino fundamental do munic\u00edpio de Rio Grande, RS, Brasil", "type" : "article-journal", "volume" : "14" }, "uris" : [ "http://www.mendeley.com/documents/?uuid=24265c7f-a827-47a3-8e46-99d8c847ad4b" ] } ], "mendeley" : { "formattedCitation" : "(16)", "plainTextFormattedCitation" : "(16)", "previouslyFormattedCitation" : "(16)"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(16)</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Por outro lado, nos testes de abdominal modificado e salto horizontal os escolares do sexo masculino tiveram resultados maiores que os do sexo feminino. No primeiro teste, o estudo de Araújo &amp; Oliveira (2008) mostram-se semelhantes aos resultados expostos, no qual os escolares de Aracaju apresentaram uma resistência abdominal maior, quando comparado ao sexo feminino(</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"10.5007/1980-0037.2008v10n3p271", "ISSN" : "14158426", "author" : [ { "dropping-particle" : "de", "family" : "Ara\u00fajo", "given" : "Silvan Silva", "non-dropping-particle" : "", "parse-names" : false, "suffix" : "" }, { "dropping-particle" : "de", "family" : "Oliveira", "given" : "Ant\u00f4nio C\u00e9sar Cabral", "non-dropping-particle" : "", "parse-names" : false, "suffix" : "" } ], "container-title" : "Revista Brasileira de Cineantropometria e Desempenho Humano.", "id" : "ITEM-1", "issue" : "3", "issued" : { "date-parts" : [ [ "2008" ] ] }, "page" : "271-276", "title" : "Aptid\u00e3o f\u00edsica em escolares de Aracaju", "type" : "article-journal", "volume" : "10" }, "uris" : [ "http://www.mendeley.com/documents/?uuid=fe4e8642-4c65-451a-848b-d8db0db1bd4b" ] } ], "mendeley" : { "formattedCitation" : "(15)", "manualFormatting" : "15)", "plainTextFormattedCitation" : "(15)", "previouslyFormattedCitation" : "(15)"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15)</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No estudo realizado por Pereira et. al. (2011) onde foi associado o teste de abdominal modificado com o sexo, idade e área geográfica da escola, os escolares masculino obteveram resultados maiores que os femininos. Relacionado a área geográfica, os que pertenciam a zona rural tiveram pior desempenho comparados com a área urbana, porém não houve diferença conforme a rede de ensino</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"author" : [ { "dropping-particle" : "", "family" : "Pereira", "given" : "Cleiton Holanda", "non-dropping-particle" : "", "parse-names" : false, "suffix" : "" }, { "dropping-particle" : "", "family" : "Ferreira", "given" : "Debora da Silva", "non-dropping-particle" : "", "parse-names" : false, "suffix" : "" }, { "dropping-particle" : "", "family" : "Copetti", "given" : "Giano Luis", "non-dropping-particle" : "", "parse-names" : false, "suffix" : "" }, { "dropping-particle" : "", "family" : "Guimar\u00e3es", "given" : "Leandro Corr\u00eaa", "non-dropping-particle" : "", "parse-names" : false, "suffix" : "" }, { "dropping-particle" : "", "family" : "Barbacena", "given" : "Marcella Manfrin", "non-dropping-particle" : "", "parse-names" : false, "suffix" : "" } ], "container-title" : "Revista Brasileira de Atividade F\u00edsica &amp; Sa\u00fade.", "id" : "ITEM-1", "issue" : "3", "issued" : { "date-parts" : [ [ "2011" ] ] }, "page" : "223-227", "title" : "Aptid\u00e3o f\u00edsica em escolares de uma unidade de ensino da rede p\u00fablica de Bras\u00edlia-DF", "type" : "article-journal", "volume" : "16" }, "uris" : [ "http://www.mendeley.com/documents/?uuid=9ef572a2-6452-4b8c-b405-0b00934aed84" ] } ], "mendeley" : { "formattedCitation" : "(14)", "plainTextFormattedCitation" : "(14)", "previouslyFormattedCitation" : "(14)"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(14)</w:t>
      </w:r>
      <w:r w:rsidRPr="006C4E2F">
        <w:rPr>
          <w:rFonts w:ascii="Garamond" w:hAnsi="Garamond" w:cs="Times New Roman"/>
          <w:noProof/>
          <w:sz w:val="24"/>
          <w:szCs w:val="24"/>
        </w:rPr>
        <w:fldChar w:fldCharType="end"/>
      </w:r>
      <w:r w:rsidRPr="006C4E2F">
        <w:rPr>
          <w:rFonts w:ascii="Garamond" w:hAnsi="Garamond" w:cs="Times New Roman"/>
          <w:noProof/>
          <w:sz w:val="24"/>
          <w:szCs w:val="24"/>
        </w:rPr>
        <w:t xml:space="preserve">.  </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Com relação ao teste de salto horizontal, os achados de Dumith et. al. (2008) verificou-se a diferença de acordo com o sexo, idade e tipo de escola mostrando que para os escolares do sexo masculino os valores são maiores, e que o nível de desempenho vai crescendo de acordo com o avanço da idade</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"10.1590/S1517-86922008000500011", "ISSN" : "1517-8692", "abstract" : "Embora os benef\u00edcios da aptid\u00e3o f\u00edsica sobre a sa\u00fade e preven\u00e7\u00e3o de doen\u00e7as estejam amplamente relatados na literatura, existem poucas investiga\u00e7\u00f5es sobre esse tema, principalmente com crian\u00e7as e adolescentes. Portanto, o objetivo do presente estudo foi analisar os componentes de aptid\u00e3o f\u00edsica relacionada \u00e0 sa\u00fade (AFRS) de acordo com caracter\u00edsticas como sexo, idade, rede de ensino (p\u00fablica ou privada) e \u00e1rea geogr\u00e1fica (rural ou urbana), em indiv\u00edduos de sete a 15 anos de idade. Os dados coletados fazem parte do Projeto Esporte Brasil (Proesp-BR), e os componentes de AFRS avaliados foram: \u00edndice de massa corporal (IMC), flexibilidade (teste de \"sentar-e-alcan\u00e7ar\"), resist\u00eancia muscular localizada (RML) (teste de abdominal em um minuto) e capacidade aer\u00f3bia (teste de corrida de nove minutos). A amostra foi composta por 665 escolares do ensino fundamental do munic\u00edpio de Rio Grande, Rio Grande do Sul (RS), selecionados de maneira aleat\u00f3ria. Para a compara\u00e7\u00e3o das m\u00e9dias das medidas e testes conforme as vari\u00e1veis independentes, utilizou-se o m\u00e9todo de regress\u00e3o linear simples e multivari\u00e1vel. Dentre os principais achados, destaca-se que os componentes de AFRS estiveram mais associados com caracter\u00edsticas biol\u00f3gicas (sexo e idade), sem diferen\u00e7as expressivas por rede de ensino ou \u00e1rea geogr\u00e1fica da escola (indicadores de n\u00edvel socioecon\u00f4mico). Outros estudos s\u00e3o necess\u00e1rios para o estabelecimento de par\u00e2metros de refer\u00eancia nacionais de AFRS de crian\u00e7as e adolescentes.", "author" : [ { "dropping-particle" : "", "family" : "Dumith", "given" : "Samuel de Carvalho", "non-dropping-particle" : "", "parse-names" : false, "suffix" : "" }, { "dropping-particle" : "", "family" : "J\u00fanior", "given" : "Mario Renato Azevedo", "non-dropping-particle" : "", "parse-names" : false, "suffix" : "" }, { "dropping-particle" : "", "family" : "Rombaldi", "given" : "Airton Jos\u00e9", "non-dropping-particle" : "", "parse-names" : false, "suffix" : "" } ], "container-title" : "Revista Brasileira de Medicina do Esporte.", "id" : "ITEM-1", "issue" : "5", "issued" : { "date-parts" : [ [ "2008" ] ] }, "page" : "454-459", "title" : "Aptid\u00e3o f\u00edsica relacionada \u00e0 sa\u00fade de alunos do ensino fundamental do munic\u00edpio de Rio Grande, RS, Brasil", "type" : "article-journal", "volume" : "14" }, "uris" : [ "http://www.mendeley.com/documents/?uuid=24265c7f-a827-47a3-8e46-99d8c847ad4b" ] } ], "mendeley" : { "formattedCitation" : "(16)", "plainTextFormattedCitation" : "(16)", "previouslyFormattedCitation" : "(16)"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(16)</w:t>
      </w:r>
      <w:r w:rsidRPr="006C4E2F">
        <w:rPr>
          <w:rFonts w:ascii="Garamond" w:hAnsi="Garamond" w:cs="Times New Roman"/>
          <w:noProof/>
          <w:sz w:val="24"/>
          <w:szCs w:val="24"/>
        </w:rPr>
        <w:fldChar w:fldCharType="end"/>
      </w:r>
      <w:r w:rsidRPr="006C4E2F">
        <w:rPr>
          <w:rFonts w:ascii="Garamond" w:hAnsi="Garamond" w:cs="Times New Roman"/>
          <w:noProof/>
          <w:sz w:val="24"/>
          <w:szCs w:val="24"/>
        </w:rPr>
        <w:t xml:space="preserve">. </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 xml:space="preserve">As diferenças encontradas entre os escolares, pode ser explicada por fatores biomecânicos relacionados aos tamanho corporal no qual o processo de alavanca se torna mais eficiente na execução do movimento de salto de acordo com o comprimento das pernas </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"10.1590/S1807-55092010000100001", "ISSN" : "1807-5509", "author" : [ { "dropping-particle" : "", "family" : "Dumith", "given" : "Samuel Carvalho", "non-dropping-particle" : "", "parse-names" : false, "suffix" : "" }, { "dropping-particle" : "", "family" : "Ramires", "given" : "Virg\u00edlio Viana", "non-dropping-particle" : "", "parse-names" : false, "suffix" : "" }, { "dropping-particle" : "", "family" : "Souza", "given" : "Matheus Jesu\u00edno Alves", "non-dropping-particle" : "", "parse-names" : false, "suffix" : "" }, { "dropping-particle" : "", "family" : "Moraes", "given" : "Daniel Souza", "non-dropping-particle" : "", "parse-names" : false, "suffix" : "" }, { "dropping-particle" : "", "family" : "Petry", "given" : "Fabr\u00edcio Godoy", "non-dropping-particle" : "", "parse-names" : false, "suffix" : "" }, { "dropping-particle" : "", "family" : "Oliveira", "given" : "Eduardo Soldera", "non-dropping-particle" : "", "parse-names" : false, "suffix" : "" }, { "dropping-particle" : "", "family" : "Ramires", "given" : "Sandro Viana", "non-dropping-particle" : "", "parse-names" : false, "suffix" : "" }, { "dropping-particle" : "", "family" : "Marques", "given" : "Alexandre Carriconde", "non-dropping-particle" : "", "parse-names" : false, "suffix" : "" } ], "container-title" : "Revista Brasileira de Educa\u00e7\u00e3o F\u00edsica e Esporte", "id" : "ITEM-1", "issue" : "1", "issued" : { "date-parts" : [ [ "2010" ] ] }, "page" : "5-14", "title" : "Aptid\u00e3o f\u00edsica relacionada ao desempenho motor em escolares de sete a 15 anos", "type" : "article-journal", "volume" : "24" }, "uris" : [ "http://www.mendeley.com/documents/?uuid=c4479da6-8087-4d86-b246-19d7fc958278" ] }, { "id" : "ITEM-2", "itemData" : { "DOI" : "10.13037/rbcs.vol12n41.2131", "ISSN" : "1678-054X", "abstract" : "Objetivo: Verificar se existem diferen\u00e7as nos n\u00edveis de desempenho motor, entre escolares de s\u00e9ries iniciais que possuem aulas ministradas pelo profissional de Educa\u00e7\u00e3o F\u00edsica (escolas municipais) e aqueles que t\u00eam aulas ministradas pelo professor unidocente (escolas estaduais). M\u00e9todos: S\u00e3o sujeitos deste estudo, 488 escolares de s\u00e9ries iniciais de doze escolas do munic\u00edpio de Santa Cruz do Sul (RS). Os componentes de desempenho motor avaliados foram a agilidade, velocidade e for\u00e7a de membros superiores e inferiores. Resultados: Os resultados demonstram que independente da rede de ensino, e da presen\u00e7a do profissional de Educa\u00e7\u00e3o F\u00edsica, os resultados ficaram abaixo dos \u00edndices desejados. As escolas que n\u00e3o possuem professor de Educa\u00e7\u00e3o F\u00edsica apresentaram os piores resultados nas avalia\u00e7\u00f5es, com exce\u00e7\u00e3o da for\u00e7a de membros superiores, para ambos os sexos, e velocidade, para o sexo feminino. Diferen\u00e7as estatisticamente significativas s\u00f3 foram encontradas no teste de agilidade para o sexo masculino, com maior percentual de resultados insatisfat\u00f3rios por alunos da rede estadual; e na avalia\u00e7\u00e3o da for\u00e7a de membros superiores, tamb\u00e9m para o sexo masculino, por\u00e9m, com maior percentual de escolares da rede municipal com resultados abaixo do recomend\u00e1vel. Conclus\u00e3o: Nossos resultados demonstram que, independente do profissional atuante nas s\u00e9ries iniciais, o desempenho motor dos escolares apresenta-se abaixo dos \u00edndices desej\u00e1veis; o que pode indicar que a Educa\u00e7\u00e3o F\u00edsica escolar est\u00e1 deixando de trabalhar val\u00eancias importantes no desenvolvimento dos escolares e precisa ser revista e reformulada, a fim de proporcionar um n\u00edvel satisfat\u00f3rio de esfor\u00e7os f\u00edsicos, oportunizando o m\u00e1ximo de benef\u00edcios aos alunos.", "author" : [ { "dropping-particle" : "", "family" : "Tornquist", "given" : "Debora", "non-dropping-particle" : "", "parse-names" : false, "suffix" : "" }, { "dropping-particle" : "", "family" : "Tornquist", "given" : "Luciana", "non-dropping-particle" : "", "parse-names" : false, "suffix" : "" }, { "dropping-particle" : "", "family" : "Reckziegel", "given" : "Miriam Beatris", "non-dropping-particle" : "", "parse-names" : false, "suffix" : "" }, { "dropping-particle" : "", "family" : "Reuter", "given" : "C\u00e9zane Priscila", "non-dropping-particle" : "", "parse-names" : false, "suffix" : "" }, { "dropping-particle" : "", "family" : "Burgos", "given" : "Miria Suzana", "non-dropping-particle" : "", "parse-names" : false, "suffix" : "" } ], "container-title" : "Revista de Aten\u00e7\u00e3o \u00e0 Sa\u00fade", "id" : "ITEM-2", "issue" : "41", "issued" : { "date-parts" : [ [ "2014" ] ] }, "page" : "19-27", "title" : "Aptid\u00e3o F\u00edsica Relacionada Ao Desempenho Motor Nas S\u00e9ries Iniciais E a Interven\u00e7\u00e3o Do Profissional De Educa\u00e7\u00e3o F\u00edsica", "type" : "article-journal", "volume" : "12" }, "uris" : [ "http://www.mendeley.com/documents/?uuid=e23b916f-781d-4e6c-a5a0-220db7e0d542" ] } ], "mendeley" : { "formattedCitation" : "(27,28)", "plainTextFormattedCitation" : "(27,28)", "previouslyFormattedCitation" : "(27,28)"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(27,28)</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 xml:space="preserve">Uma outra explicação para que os escolares masculinos tenham resultados maiores que as meninas é o fato de passarem pelo periodo da menarca, que está diretamente associado </w:t>
      </w:r>
      <w:r w:rsidRPr="006C4E2F">
        <w:rPr>
          <w:rFonts w:ascii="Garamond" w:hAnsi="Garamond" w:cs="Times New Roman"/>
          <w:noProof/>
          <w:sz w:val="24"/>
          <w:szCs w:val="24"/>
        </w:rPr>
        <w:lastRenderedPageBreak/>
        <w:t>com características sexuais do corpo feminino adulto, havendo um aumento no percentual de gordura corporal</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"10.5007/1980-0037.2010v12n5p331", "ISSN" : "14158426", "abstract" : "Os objetivos deste estudo foram: a) mensurar indicadores de aptid\u00e3o f\u00edsica em crian\u00e7as e adolescentes, de acordo com a idade cronol\u00f3gica e o sexo; b) classificar seu desempenho por meio das tabelas normativas do PROESP-BR. Participaram do estudo 3145 escolares selecionados aleatoriamente (1590 meninos e 1555 meninas), com idades entre 7 e 16 anos, que realizaram os seguintes testes: dist\u00e2ncia percorrida em 9 minutos de corrida, salto horizontal, arremesso de medicine-ball e flex\u00e3o abdominal em 1 minuto. Foram verificadas diferen\u00e7as estatisticamente significantes entre os sexos em todas as idades cronol\u00f3gicas, bem como nas compara\u00e7\u00f5es entre os jovens do sexo masculino de diferentes idades cronol\u00f3gicas. No sexo feminino, n\u00e3o houve diferen\u00e7as significantes no fator idade cronol\u00f3gica, existindo, ainda, uma tend\u00eancia de estabiliza\u00e7\u00e3o do desempenho a partir dos 11/12 anos de idade. Classificando-se os jovens nas tabelas normativas do PROESP-BR, observaram-se valores elevados, em geral, superiores a 50%, para a classifica\u00e7\u00e3o \u201cruim\u201d (abaixo do percentil 40) em todos os testes para ambos os sexos, principalmente, no femi- nino; essa mesma tend\u00eancia foi observada na compara\u00e7\u00e3o com outros estudos brasileiros. Considerando os valores m\u00e9dios obtidos, concluiu-se que os jovens, principalmente, do sexo feminino, apresentam um baixo n\u00edvel de aptid\u00e3o f\u00edsica, fato que justifica a necessidade de programas de promo\u00e7\u00e3o de sa\u00fade na regi\u00e3o centro oeste de S\u00e3o Paulo, especialmente, voltados \u00e0 pr\u00e1tica de atividades f\u00edsicas.", "author" : [ { "dropping-particle" : "", "family" : "Luguetti", "given" : "Carla Nascimento", "non-dropping-particle" : "", "parse-names" : false, "suffix" : "" }, { "dropping-particle" : "", "family" : "Nicolai R\u00e9", "given" : "Alessandro H.", "non-dropping-particle" : "", "parse-names" : false, "suffix" : "" }, { "dropping-particle" : "", "family" : "B\u00f6hme", "given" : "Maria Tereza Silveira", "non-dropping-particle" : "", "parse-names" : false, "suffix" : "" } ], "container-title" : "Revista Brasileira de Cineantropometria e Desempenho Humano", "id" : "ITEM-1", "issue" : "5", "issued" : { "date-parts" : [ [ "2010" ] ] }, "page" : "331-337", "title" : "Indicadores de aptid\u00e3o f\u00edsica de escolares da regi\u00e3o centro-oeste da cidade de S\u00e3o Paulo", "type" : "article-journal", "volume" : "12" }, "uris" : [ "http://www.mendeley.com/documents/?uuid=f71d3b06-107b-4a5c-b781-1af4a076c352" ] } ], "mendeley" : { "formattedCitation" : "(29)", "plainTextFormattedCitation" : "(29)", "previouslyFormattedCitation" : "(29)"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(29)</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No estudo de Luguetti et. al. (2010) no qual ele buscou mensurar os valores de aptidão e classificar o desempeho motor de acordo com a bateria de testes PROESP-BR, os escolares do sexo masculino mostraram-se com resultados maiores relacionados a aptidão física  em todos os testes analizados</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"DOI" : "10.5007/1980-0037.2010v12n5p331", "ISSN" : "14158426", "abstract" : "Os objetivos deste estudo foram: a) mensurar indicadores de aptid\u00e3o f\u00edsica em crian\u00e7as e adolescentes, de acordo com a idade cronol\u00f3gica e o sexo; b) classificar seu desempenho por meio das tabelas normativas do PROESP-BR. Participaram do estudo 3145 escolares selecionados aleatoriamente (1590 meninos e 1555 meninas), com idades entre 7 e 16 anos, que realizaram os seguintes testes: dist\u00e2ncia percorrida em 9 minutos de corrida, salto horizontal, arremesso de medicine-ball e flex\u00e3o abdominal em 1 minuto. Foram verificadas diferen\u00e7as estatisticamente significantes entre os sexos em todas as idades cronol\u00f3gicas, bem como nas compara\u00e7\u00f5es entre os jovens do sexo masculino de diferentes idades cronol\u00f3gicas. No sexo feminino, n\u00e3o houve diferen\u00e7as significantes no fator idade cronol\u00f3gica, existindo, ainda, uma tend\u00eancia de estabiliza\u00e7\u00e3o do desempenho a partir dos 11/12 anos de idade. Classificando-se os jovens nas tabelas normativas do PROESP-BR, observaram-se valores elevados, em geral, superiores a 50%, para a classifica\u00e7\u00e3o \u201cruim\u201d (abaixo do percentil 40) em todos os testes para ambos os sexos, principalmente, no femi- nino; essa mesma tend\u00eancia foi observada na compara\u00e7\u00e3o com outros estudos brasileiros. Considerando os valores m\u00e9dios obtidos, concluiu-se que os jovens, principalmente, do sexo feminino, apresentam um baixo n\u00edvel de aptid\u00e3o f\u00edsica, fato que justifica a necessidade de programas de promo\u00e7\u00e3o de sa\u00fade na regi\u00e3o centro oeste de S\u00e3o Paulo, especialmente, voltados \u00e0 pr\u00e1tica de atividades f\u00edsicas.", "author" : [ { "dropping-particle" : "", "family" : "Luguetti", "given" : "Carla Nascimento", "non-dropping-particle" : "", "parse-names" : false, "suffix" : "" }, { "dropping-particle" : "", "family" : "R\u00e9", "given" : "Alessandro H. Nicolai", "non-dropping-particle" : "", "parse-names" : false, "suffix" : "" }, { "dropping-particle" : "", "family" : "B\u00f6hme", "given" : "Maria Tereza Silveira", "non-dropping-particle" : "", "parse-names" : false, "suffix" : "" } ], "container-title" : "Revista Brasileira de Cineantropometria e Desempenho Humano", "id" : "ITEM-1", "issue" : "5", "issued" : { "date-parts" : [ [ "2010" ] ] }, "page" : "331-337", "title" : "Indicadores de aptid\u00e3o f\u00edsica de escolares da regi\u00e3o centro-oeste da cidade de S\u00e3o Paulo", "type" : "article-journal", "volume" : "12" }, "uris" : [ "http://www.mendeley.com/documents/?uuid=603df6e5-63e0-4463-8359-10c3e9f968e9" ] } ], "mendeley" : { "formattedCitation" : "(30)", "plainTextFormattedCitation" : "(30)", "previouslyFormattedCitation" : "(30)"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w:t>
      </w:r>
      <w:r w:rsidR="00D91755" w:rsidRPr="006C4E2F">
        <w:rPr>
          <w:rFonts w:ascii="Garamond" w:hAnsi="Garamond" w:cs="Times New Roman"/>
          <w:noProof/>
          <w:sz w:val="24"/>
          <w:szCs w:val="24"/>
        </w:rPr>
        <w:t>29</w:t>
      </w:r>
      <w:r w:rsidRPr="006C4E2F">
        <w:rPr>
          <w:rFonts w:ascii="Garamond" w:hAnsi="Garamond" w:cs="Times New Roman"/>
          <w:noProof/>
          <w:sz w:val="24"/>
          <w:szCs w:val="24"/>
        </w:rPr>
        <w:t>)</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D91755">
      <w:pPr>
        <w:spacing w:line="480" w:lineRule="auto"/>
        <w:ind w:firstLine="708"/>
        <w:jc w:val="both"/>
        <w:rPr>
          <w:rFonts w:ascii="Garamond" w:hAnsi="Garamond" w:cs="Times New Roman"/>
          <w:noProof/>
          <w:sz w:val="24"/>
          <w:szCs w:val="24"/>
        </w:rPr>
      </w:pPr>
      <w:r w:rsidRPr="006C4E2F">
        <w:rPr>
          <w:rFonts w:ascii="Garamond" w:hAnsi="Garamond" w:cs="Times New Roman"/>
          <w:noProof/>
          <w:sz w:val="24"/>
          <w:szCs w:val="24"/>
        </w:rPr>
        <w:t>Há também uma preocupação em manter a população informada, e com isso a Organização Mundial da Saúde 2007 (OMS) busca estabelecer a construção de políticas públicas afim de mostrar a importância da atividade física para que o individuo possua uma vida mais saudável e que assim ele possa ter uma prática regular evitando possíveis doenças no futuro</w:t>
      </w:r>
      <w:r w:rsidRPr="006C4E2F">
        <w:rPr>
          <w:rFonts w:ascii="Garamond" w:hAnsi="Garamond" w:cs="Times New Roman"/>
          <w:noProof/>
          <w:sz w:val="24"/>
          <w:szCs w:val="24"/>
        </w:rPr>
        <w:fldChar w:fldCharType="begin" w:fldLock="1"/>
      </w:r>
      <w:r w:rsidRPr="006C4E2F">
        <w:rPr>
          <w:rFonts w:ascii="Garamond" w:hAnsi="Garamond" w:cs="Times New Roman"/>
          <w:noProof/>
          <w:sz w:val="24"/>
          <w:szCs w:val="24"/>
        </w:rPr>
        <w:instrText>ADDIN CSL_CITATION { "citationItems" : [ { "id" : "ITEM-1", "itemData" : { "author" : [ { "dropping-particle" : "", "family" : "Ramos", "given" : "Marcy Garcia", "non-dropping-particle" : "", "parse-names" : false, "suffix" : "" }, { "dropping-particle" : "", "family" : "Falsarella", "given" : "Gl\u00e1ucia Regina", "non-dropping-particle" : "", "parse-names" : false, "suffix" : "" } ], "container-title" : "Educa\u00e7\u00e3o F\u00edsica Escolar e promo\u00e7\u00e3o de sa\u00fade", "id" : "ITEM-1", "issued" : { "date-parts" : [ [ "2008" ] ] }, "page" : "147-155", "title" : "Flexibilidade em escolares: aptid\u00e3o f\u00edsica direcionada \u00e0 qualidade de vida", "type" : "chapter" }, "uris" : [ "http://www.mendeley.com/documents/?uuid=9bccca34-d2c2-46c5-b8d2-134e21385e88" ] } ], "mendeley" : { "formattedCitation" : "(31)", "plainTextFormattedCitation" : "(31)", "previouslyFormattedCitation" : "(31)" }, "properties" : {  }, "schema" : "https://github.com/citation-style-language/schema/raw/master/csl-citation.json" }</w:instrText>
      </w:r>
      <w:r w:rsidRPr="006C4E2F">
        <w:rPr>
          <w:rFonts w:ascii="Garamond" w:hAnsi="Garamond" w:cs="Times New Roman"/>
          <w:noProof/>
          <w:sz w:val="24"/>
          <w:szCs w:val="24"/>
        </w:rPr>
        <w:fldChar w:fldCharType="separate"/>
      </w:r>
      <w:r w:rsidRPr="006C4E2F">
        <w:rPr>
          <w:rFonts w:ascii="Garamond" w:hAnsi="Garamond" w:cs="Times New Roman"/>
          <w:noProof/>
          <w:sz w:val="24"/>
          <w:szCs w:val="24"/>
        </w:rPr>
        <w:t>(3</w:t>
      </w:r>
      <w:r w:rsidR="00D91755" w:rsidRPr="006C4E2F">
        <w:rPr>
          <w:rFonts w:ascii="Garamond" w:hAnsi="Garamond" w:cs="Times New Roman"/>
          <w:noProof/>
          <w:sz w:val="24"/>
          <w:szCs w:val="24"/>
        </w:rPr>
        <w:t>0</w:t>
      </w:r>
      <w:r w:rsidRPr="006C4E2F">
        <w:rPr>
          <w:rFonts w:ascii="Garamond" w:hAnsi="Garamond" w:cs="Times New Roman"/>
          <w:noProof/>
          <w:sz w:val="24"/>
          <w:szCs w:val="24"/>
        </w:rPr>
        <w:t>)</w:t>
      </w:r>
      <w:r w:rsidRPr="006C4E2F">
        <w:rPr>
          <w:rFonts w:ascii="Garamond" w:hAnsi="Garamond" w:cs="Times New Roman"/>
          <w:noProof/>
          <w:sz w:val="24"/>
          <w:szCs w:val="24"/>
        </w:rPr>
        <w:fldChar w:fldCharType="end"/>
      </w:r>
      <w:r w:rsidRPr="006C4E2F">
        <w:rPr>
          <w:rFonts w:ascii="Garamond" w:hAnsi="Garamond" w:cs="Times New Roman"/>
          <w:noProof/>
          <w:sz w:val="24"/>
          <w:szCs w:val="24"/>
        </w:rPr>
        <w:t>.</w:t>
      </w: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 xml:space="preserve">Deste modo, ao compararmos a influência do estado nutricional sobre os testes de desempenho motor, verificou-se que os indivíduos eutróficos versus os indivíduos com magreza não houveram diferenças significativas para o sexo masculino. </w:t>
      </w: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Quando comparado o estado nutricional dos eutróficos versus obesos observou-se que teve influência nos testes de abdominal modificado e salto horizontal, tendo valores significativos (p&lt;0,05). Talvez isso se dê pela grande quantidade de massa corporal, atrapalhando de alguma forma o desempenho dos escolares</w:t>
      </w:r>
      <w:r w:rsidRPr="006C4E2F">
        <w:rPr>
          <w:rFonts w:ascii="Garamond" w:hAnsi="Garamond"/>
          <w:sz w:val="24"/>
          <w:szCs w:val="24"/>
        </w:rPr>
        <w:fldChar w:fldCharType="begin" w:fldLock="1"/>
      </w:r>
      <w:r w:rsidRPr="006C4E2F">
        <w:rPr>
          <w:rFonts w:ascii="Garamond" w:hAnsi="Garamond"/>
          <w:sz w:val="24"/>
          <w:szCs w:val="24"/>
        </w:rPr>
        <w:instrText>ADDIN CSL_CITATION { "citationItems" : [ { "id" : "ITEM-1", "itemData" : { "DOI" : "10.1590/S1517-86922008000600004", "ISSN" : "15178692", "abstract" : "The aim of this study was to analyze the health-related physical fitness (HRPF) in students from Jequi\u00e9, BA, Brazil. Therefore, the HRPF of 182 boys and 160 girls aged 7-12 years, students from public schools, was assessed by the application of 9-minute-run/walk (indicator of cardiorespiratory capacity), modified in one minute abdominal (indicator of abdominal strength and endurance), sit-and-reach (indicator of flexibility) motor tests. The sum of the triciptal and subscapular skinfolds thickness was used as indicator of body fat. The results found indicated higher prevalence of boys and girls below (19% and 49%, respectively) than above (3% and 1%, respectively) the criteria established by the AAHPERD (1988) for indicators of body fat. Conversely, only 51% of the boys and 58% of the girls in the sit-and-reach; 11% and 7%, respectively, in the modified in one minute abdominal; and 15% and 14%, respectively, in the 9-minute-run/walk reached the established criteria. Thus, the results suggest that effective intervention programs seem necessary for the promotion of alterations in the nutritional status as well as habitual physical activity of students from Jequi\u00e9.", "author" : [ { "dropping-particle" : "", "family" : "D\u00f3rea", "given" : "Valfredo", "non-dropping-particle" : "", "parse-names" : false, "suffix" : "" }, { "dropping-particle" : "", "family" : "Ronque", "given" : "Enio Ricardo Vaz", "non-dropping-particle" : "", "parse-names" : false, "suffix" : "" }, { "dropping-particle" : "", "family" : "Cyrino", "given" : "Edilson Serpeloni", "non-dropping-particle" : "", "parse-names" : false, "suffix" : "" }, { "dropping-particle" : "", "family" : "Serassuelo", "given" : "Helio", "non-dropping-particle" : "", "parse-names" : false, "suffix" : "" }, { "dropping-particle" : "", "family" : "Gobbo", "given" : "Lu\u00eds Alberto", "non-dropping-particle" : "", "parse-names" : false, "suffix" : "" }, { "dropping-particle" : "", "family" : "Carvalho", "given" : "Ferdinando Oliveira", "non-dropping-particle" : "", "parse-names" : false, "suffix" : "" }, { "dropping-particle" : "", "family" : "Souza", "given" : "Carine Ferreira", "non-dropping-particle" : "de", "parse-names" : false, "suffix" : "" }, { "dropping-particle" : "", "family" : "Melo", "given" : "Juliana Cordeiro", "non-dropping-particle" : "de", "parse-names" : false, "suffix" : "" }, { "dropping-particle" : "", "family" : "Gaion", "given" : "Patr\u00edcia Aparecida", "non-dropping-particle" : "", "parse-names" : false, "suffix" : "" } ], "container-title" : "Revista Brasileira de Medicina do Esporte", "id" : "ITEM-1", "issue" : "6", "issued" : { "date-parts" : [ [ "2008" ] ] }, "page" : "494-499", "title" : "Aptid\u00e3o f\u00edsica relacionada \u00e0 sa\u00fade em escolares de Jequi\u00e9, BA, Brasil", "type" : "article-journal", "volume" : "14" }, "uris" : [ "http://www.mendeley.com/documents/?uuid=c8990990-d65d-4100-9a24-62a361a62336" ] } ], "mendeley" : { "formattedCitation" : "(26)", "plainTextFormattedCitation" : "(26)", "previouslyFormattedCitation" : "(26)" }, "properties" : {  }, "schema" : "https://github.com/citation-style-language/schema/raw/master/csl-citation.json" }</w:instrText>
      </w:r>
      <w:r w:rsidRPr="006C4E2F">
        <w:rPr>
          <w:rFonts w:ascii="Garamond" w:hAnsi="Garamond"/>
          <w:sz w:val="24"/>
          <w:szCs w:val="24"/>
        </w:rPr>
        <w:fldChar w:fldCharType="separate"/>
      </w:r>
      <w:r w:rsidRPr="006C4E2F">
        <w:rPr>
          <w:rFonts w:ascii="Garamond" w:hAnsi="Garamond"/>
          <w:noProof/>
          <w:sz w:val="24"/>
          <w:szCs w:val="24"/>
        </w:rPr>
        <w:t>(26)</w:t>
      </w:r>
      <w:r w:rsidRPr="006C4E2F">
        <w:rPr>
          <w:rFonts w:ascii="Garamond" w:hAnsi="Garamond"/>
          <w:sz w:val="24"/>
          <w:szCs w:val="24"/>
        </w:rPr>
        <w:fldChar w:fldCharType="end"/>
      </w:r>
      <w:r w:rsidRPr="006C4E2F">
        <w:rPr>
          <w:rFonts w:ascii="Garamond" w:hAnsi="Garamond"/>
          <w:sz w:val="24"/>
          <w:szCs w:val="24"/>
        </w:rPr>
        <w:t>.</w:t>
      </w:r>
    </w:p>
    <w:p w:rsidR="00757793" w:rsidRPr="006C4E2F" w:rsidRDefault="00757793" w:rsidP="00757793">
      <w:pPr>
        <w:spacing w:line="480" w:lineRule="auto"/>
        <w:ind w:firstLine="708"/>
        <w:jc w:val="both"/>
        <w:rPr>
          <w:rFonts w:ascii="Garamond" w:hAnsi="Garamond"/>
          <w:sz w:val="24"/>
          <w:szCs w:val="24"/>
        </w:rPr>
      </w:pPr>
      <w:r w:rsidRPr="006C4E2F">
        <w:rPr>
          <w:rFonts w:ascii="Garamond" w:hAnsi="Garamond"/>
          <w:sz w:val="24"/>
          <w:szCs w:val="24"/>
        </w:rPr>
        <w:t>Para o sexo feminino, ao analisarmos os testes de desempenho motor comparando os eutróficos com os escolares com magreza, não houve diferença significativa nos resultados. Quando comparados os eutróficos com os que tem obesidade houve diferença significativa apenas no teste de salto horizontal (0,011).</w:t>
      </w:r>
    </w:p>
    <w:p w:rsidR="00A47EAE" w:rsidRPr="006C4E2F" w:rsidRDefault="00A47EAE" w:rsidP="00757793">
      <w:pPr>
        <w:spacing w:line="480" w:lineRule="auto"/>
        <w:rPr>
          <w:rFonts w:ascii="Garamond" w:eastAsia="Times New Roman" w:hAnsi="Garamond" w:cs="Times New Roman"/>
          <w:b/>
          <w:color w:val="222222"/>
          <w:sz w:val="24"/>
          <w:szCs w:val="24"/>
          <w:lang w:eastAsia="pt-BR"/>
        </w:rPr>
      </w:pPr>
    </w:p>
    <w:p w:rsidR="00757793" w:rsidRPr="006C4E2F" w:rsidRDefault="00757793" w:rsidP="00757793">
      <w:pPr>
        <w:spacing w:line="480" w:lineRule="auto"/>
        <w:rPr>
          <w:rFonts w:ascii="Garamond" w:hAnsi="Garamond"/>
          <w:sz w:val="24"/>
          <w:szCs w:val="24"/>
        </w:rPr>
      </w:pPr>
      <w:r w:rsidRPr="006C4E2F">
        <w:rPr>
          <w:rFonts w:ascii="Garamond" w:eastAsia="Times New Roman" w:hAnsi="Garamond" w:cs="Times New Roman"/>
          <w:b/>
          <w:color w:val="222222"/>
          <w:sz w:val="24"/>
          <w:szCs w:val="24"/>
          <w:lang w:eastAsia="pt-BR"/>
        </w:rPr>
        <w:t xml:space="preserve">CONCLUSÃO </w:t>
      </w: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ab/>
        <w:t>Concluímos que a maioria dos escolares tanto para o sexo masculino quanto para o sexo feminino possuem o estado nutricional dentro do normal no qual corroboram com achados em estudos nacionais onde a maioria se dá como eutrófico. No entanto há prevalência para sobrepeso e obesidade para ambos os sexos.</w:t>
      </w:r>
    </w:p>
    <w:p w:rsidR="00757793" w:rsidRPr="006C4E2F" w:rsidRDefault="00757793" w:rsidP="00757793">
      <w:pPr>
        <w:shd w:val="clear" w:color="auto" w:fill="FFFFFF"/>
        <w:spacing w:before="100" w:beforeAutospacing="1" w:after="100" w:afterAutospacing="1" w:line="480" w:lineRule="auto"/>
        <w:jc w:val="both"/>
        <w:rPr>
          <w:rFonts w:ascii="Garamond" w:eastAsia="Times New Roman" w:hAnsi="Garamond" w:cs="Times New Roman"/>
          <w:color w:val="222222"/>
          <w:sz w:val="24"/>
          <w:szCs w:val="24"/>
          <w:lang w:eastAsia="pt-BR"/>
        </w:rPr>
      </w:pPr>
      <w:r w:rsidRPr="006C4E2F">
        <w:rPr>
          <w:rFonts w:ascii="Garamond" w:eastAsia="Times New Roman" w:hAnsi="Garamond" w:cs="Times New Roman"/>
          <w:color w:val="222222"/>
          <w:sz w:val="24"/>
          <w:szCs w:val="24"/>
          <w:lang w:eastAsia="pt-BR"/>
        </w:rPr>
        <w:tab/>
        <w:t xml:space="preserve">No tocante, aptidão física verificou-se que os escolares do sexo feminino tiveram resultados maiores apenas no teste de sentar e alcançar quando comparados ao masculino que se destacam no abdominal modificado e salto horizontal. De acordo com o estado nutricional e os testes de desempenho motor houve influência apenas para os escolares que foram classificados com obesidade o que compromete o desempenho motor dos mesmos. </w:t>
      </w:r>
    </w:p>
    <w:p w:rsidR="00757793" w:rsidRPr="006C4E2F" w:rsidRDefault="00757793" w:rsidP="00A76B74">
      <w:pPr>
        <w:shd w:val="clear" w:color="auto" w:fill="FFFFFF"/>
        <w:spacing w:before="100" w:beforeAutospacing="1" w:after="100" w:afterAutospacing="1" w:line="240" w:lineRule="auto"/>
        <w:jc w:val="both"/>
        <w:rPr>
          <w:rFonts w:ascii="Garamond" w:eastAsia="Times New Roman" w:hAnsi="Garamond" w:cs="Times New Roman"/>
          <w:b/>
          <w:color w:val="222222"/>
          <w:sz w:val="24"/>
          <w:szCs w:val="24"/>
          <w:lang w:eastAsia="pt-BR"/>
        </w:rPr>
      </w:pPr>
      <w:r w:rsidRPr="006C4E2F">
        <w:rPr>
          <w:rFonts w:ascii="Garamond" w:eastAsia="Times New Roman" w:hAnsi="Garamond" w:cs="Times New Roman"/>
          <w:b/>
          <w:color w:val="222222"/>
          <w:sz w:val="24"/>
          <w:szCs w:val="24"/>
          <w:lang w:eastAsia="pt-BR"/>
        </w:rPr>
        <w:t xml:space="preserve">REFERÊNCIAS </w:t>
      </w:r>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 </w:t>
      </w:r>
      <w:r w:rsidRPr="006C4E2F">
        <w:rPr>
          <w:rFonts w:ascii="Garamond" w:hAnsi="Garamond" w:cs="Times New Roman"/>
          <w:noProof/>
          <w:sz w:val="24"/>
          <w:szCs w:val="24"/>
        </w:rPr>
        <w:tab/>
      </w:r>
      <w:bookmarkStart w:id="5" w:name="_Hlk504058581"/>
      <w:r w:rsidRPr="006C4E2F">
        <w:rPr>
          <w:rFonts w:ascii="Garamond" w:hAnsi="Garamond" w:cs="Times New Roman"/>
          <w:noProof/>
          <w:sz w:val="24"/>
          <w:szCs w:val="24"/>
        </w:rPr>
        <w:t xml:space="preserve">Bertin R.L, Malkowski J, Zutter L.C.I, Ulbrich A.Z. Estado nutricional, hábitos alimentares e conhecimentos de nutrição em escolares. Rev. Paul. Pediatr. 2010;28(3):303–8. </w:t>
      </w:r>
      <w:bookmarkEnd w:id="5"/>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 </w:t>
      </w:r>
      <w:r w:rsidRPr="006C4E2F">
        <w:rPr>
          <w:rFonts w:ascii="Garamond" w:hAnsi="Garamond" w:cs="Times New Roman"/>
          <w:noProof/>
          <w:sz w:val="24"/>
          <w:szCs w:val="24"/>
        </w:rPr>
        <w:tab/>
      </w:r>
      <w:bookmarkStart w:id="6" w:name="_Hlk504058598"/>
      <w:r w:rsidRPr="006C4E2F">
        <w:rPr>
          <w:rFonts w:ascii="Garamond" w:hAnsi="Garamond" w:cs="Times New Roman"/>
          <w:noProof/>
          <w:sz w:val="24"/>
          <w:szCs w:val="24"/>
        </w:rPr>
        <w:t xml:space="preserve">Marramarco C.A, Krebs R.J, Valentini N.C, Ramalho M.H da S, Santos J.O.L dos, Nobre G.C. Crianças desnutridas pregressas, com sobrepeso e obesas apresentam desempenho motor pobre. Ver. de Educação Física/UEM. 2012;23(2):175–82. </w:t>
      </w:r>
      <w:bookmarkEnd w:id="6"/>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3. </w:t>
      </w:r>
      <w:r w:rsidRPr="006C4E2F">
        <w:rPr>
          <w:rFonts w:ascii="Garamond" w:hAnsi="Garamond" w:cs="Times New Roman"/>
          <w:noProof/>
          <w:sz w:val="24"/>
          <w:szCs w:val="24"/>
        </w:rPr>
        <w:tab/>
      </w:r>
      <w:bookmarkStart w:id="7" w:name="_Hlk504058610"/>
      <w:r w:rsidRPr="006C4E2F">
        <w:rPr>
          <w:rFonts w:ascii="Garamond" w:hAnsi="Garamond" w:cs="Times New Roman"/>
          <w:noProof/>
          <w:sz w:val="24"/>
          <w:szCs w:val="24"/>
        </w:rPr>
        <w:t xml:space="preserve">Fanhani K.K, Bennemann R.M. Estado nutricional de escolares da rede municipal de ensino de Maringá, Estado do Paraná, Brasil. Acta Scientiarum Health Sciences. 2011;33(1):77–82. </w:t>
      </w:r>
      <w:bookmarkEnd w:id="7"/>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4. </w:t>
      </w:r>
      <w:r w:rsidRPr="006C4E2F">
        <w:rPr>
          <w:rFonts w:ascii="Garamond" w:hAnsi="Garamond" w:cs="Times New Roman"/>
          <w:noProof/>
          <w:sz w:val="24"/>
          <w:szCs w:val="24"/>
        </w:rPr>
        <w:tab/>
      </w:r>
      <w:bookmarkStart w:id="8" w:name="_Hlk504058618"/>
      <w:r w:rsidRPr="006C4E2F">
        <w:rPr>
          <w:rFonts w:ascii="Garamond" w:hAnsi="Garamond" w:cs="Times New Roman"/>
          <w:noProof/>
          <w:sz w:val="24"/>
          <w:szCs w:val="24"/>
        </w:rPr>
        <w:t xml:space="preserve">Triches R.M, Giugliani E.R.J. Obesidade, práticas alimentares e conhecimentos de nutrição em escolares. Rev. Saúde Pública. 2005;39(4):541–7. </w:t>
      </w:r>
      <w:bookmarkEnd w:id="8"/>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5. </w:t>
      </w:r>
      <w:r w:rsidRPr="006C4E2F">
        <w:rPr>
          <w:rFonts w:ascii="Garamond" w:hAnsi="Garamond" w:cs="Times New Roman"/>
          <w:noProof/>
          <w:sz w:val="24"/>
          <w:szCs w:val="24"/>
        </w:rPr>
        <w:tab/>
      </w:r>
      <w:bookmarkStart w:id="9" w:name="_Hlk504058631"/>
      <w:r w:rsidRPr="006C4E2F">
        <w:rPr>
          <w:rFonts w:ascii="Garamond" w:hAnsi="Garamond" w:cs="Times New Roman"/>
          <w:noProof/>
          <w:sz w:val="24"/>
          <w:szCs w:val="24"/>
        </w:rPr>
        <w:t xml:space="preserve">Maranhão H. de S, Aguiar R.C de, Lira D.T.J de, Sales M.Ú..F, Nóbrega NÁ do N. Dificuldades Alimentares em pré-escolares, práticas alimentares pregressas e estado nutricional. Rev. de Pediatria. São Paulo. 2017;1–7. </w:t>
      </w:r>
      <w:bookmarkEnd w:id="9"/>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6. </w:t>
      </w:r>
      <w:r w:rsidRPr="006C4E2F">
        <w:rPr>
          <w:rFonts w:ascii="Garamond" w:hAnsi="Garamond" w:cs="Times New Roman"/>
          <w:noProof/>
          <w:sz w:val="24"/>
          <w:szCs w:val="24"/>
        </w:rPr>
        <w:tab/>
      </w:r>
      <w:bookmarkStart w:id="10" w:name="_Hlk504058644"/>
      <w:r w:rsidRPr="006C4E2F">
        <w:rPr>
          <w:rFonts w:ascii="Garamond" w:hAnsi="Garamond" w:cs="Times New Roman"/>
          <w:noProof/>
          <w:sz w:val="24"/>
          <w:szCs w:val="24"/>
        </w:rPr>
        <w:t xml:space="preserve">Contreira A.R, Capistrano R, Oliveira A. do V.P de, Beltrame T.S. Indicadores de saúde em escolares: avaliação do estado nutricional e desempenho motor. Cinergis. 2013;14(1):13–7. </w:t>
      </w:r>
      <w:bookmarkEnd w:id="10"/>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7. </w:t>
      </w:r>
      <w:r w:rsidRPr="006C4E2F">
        <w:rPr>
          <w:rFonts w:ascii="Garamond" w:hAnsi="Garamond" w:cs="Times New Roman"/>
          <w:noProof/>
          <w:sz w:val="24"/>
          <w:szCs w:val="24"/>
        </w:rPr>
        <w:tab/>
      </w:r>
      <w:bookmarkStart w:id="11" w:name="_Hlk504058423"/>
      <w:r w:rsidRPr="006C4E2F">
        <w:rPr>
          <w:rFonts w:ascii="Garamond" w:hAnsi="Garamond" w:cs="Times New Roman"/>
          <w:noProof/>
          <w:sz w:val="24"/>
          <w:szCs w:val="24"/>
        </w:rPr>
        <w:t xml:space="preserve">Marramarco C.A. Relação entre o estado nutricional e o desempenho motor de crianças do município de Farroupilha - RS. Dissertação de Mestrado. Universidade do Estado de Santa Catarina; 2007. </w:t>
      </w:r>
      <w:bookmarkEnd w:id="11"/>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8. </w:t>
      </w:r>
      <w:r w:rsidRPr="006C4E2F">
        <w:rPr>
          <w:rFonts w:ascii="Garamond" w:hAnsi="Garamond" w:cs="Times New Roman"/>
          <w:noProof/>
          <w:sz w:val="24"/>
          <w:szCs w:val="24"/>
        </w:rPr>
        <w:tab/>
      </w:r>
      <w:bookmarkStart w:id="12" w:name="_Hlk504058657"/>
      <w:r w:rsidRPr="006C4E2F">
        <w:rPr>
          <w:rFonts w:ascii="Garamond" w:hAnsi="Garamond" w:cs="Times New Roman"/>
          <w:noProof/>
          <w:sz w:val="24"/>
          <w:szCs w:val="24"/>
        </w:rPr>
        <w:t xml:space="preserve">Dumith S.C, Farias Júnior J.C. Sobrepeso e obesidade em crianças e adolescentes: comparação de três critérios de classificação baseados no índice de massa corporal. Ver. Panam. Salud. Pública. 2010;28(1):30–5. </w:t>
      </w:r>
      <w:bookmarkEnd w:id="12"/>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9. </w:t>
      </w:r>
      <w:r w:rsidRPr="006C4E2F">
        <w:rPr>
          <w:rFonts w:ascii="Garamond" w:hAnsi="Garamond" w:cs="Times New Roman"/>
          <w:noProof/>
          <w:sz w:val="24"/>
          <w:szCs w:val="24"/>
        </w:rPr>
        <w:tab/>
      </w:r>
      <w:bookmarkStart w:id="13" w:name="_Hlk504058671"/>
      <w:r w:rsidRPr="006C4E2F">
        <w:rPr>
          <w:rFonts w:ascii="Garamond" w:hAnsi="Garamond" w:cs="Times New Roman"/>
          <w:noProof/>
          <w:sz w:val="24"/>
          <w:szCs w:val="24"/>
        </w:rPr>
        <w:t xml:space="preserve">Pedraza D.F, Silva F.A, Melo N.L.S de, Araújo E.M.N, Sousa C.P da C. Estado nutricional e hábitos alimentares de escolares de Campina Grande, Paraíba, Brasil. Cien. Saúde Colet. 2016;22(2):469–77. </w:t>
      </w:r>
      <w:bookmarkEnd w:id="13"/>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10. </w:t>
      </w:r>
      <w:r w:rsidRPr="006C4E2F">
        <w:rPr>
          <w:rFonts w:ascii="Garamond" w:hAnsi="Garamond" w:cs="Times New Roman"/>
          <w:noProof/>
          <w:sz w:val="24"/>
          <w:szCs w:val="24"/>
        </w:rPr>
        <w:tab/>
      </w:r>
      <w:bookmarkStart w:id="14" w:name="_Hlk504058682"/>
      <w:r w:rsidRPr="006C4E2F">
        <w:rPr>
          <w:rFonts w:ascii="Garamond" w:hAnsi="Garamond" w:cs="Times New Roman"/>
          <w:noProof/>
          <w:sz w:val="24"/>
          <w:szCs w:val="24"/>
        </w:rPr>
        <w:t xml:space="preserve">Zanella L.W, Sousa M.S de, Bandeira P.F.R, Nobre G.C, Valentini N.C. Crianças com sobrepeso e obesidade: intervenção motora e suas influências no comportamento motor. Motricidade. 2016;12:42–53. </w:t>
      </w:r>
      <w:bookmarkEnd w:id="14"/>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11. </w:t>
      </w:r>
      <w:r w:rsidRPr="006C4E2F">
        <w:rPr>
          <w:rFonts w:ascii="Garamond" w:hAnsi="Garamond" w:cs="Times New Roman"/>
          <w:noProof/>
          <w:sz w:val="24"/>
          <w:szCs w:val="24"/>
        </w:rPr>
        <w:tab/>
      </w:r>
      <w:bookmarkStart w:id="15" w:name="_Hlk504058702"/>
      <w:r w:rsidRPr="006C4E2F">
        <w:rPr>
          <w:rFonts w:ascii="Garamond" w:hAnsi="Garamond" w:cs="Times New Roman"/>
          <w:noProof/>
          <w:sz w:val="24"/>
          <w:szCs w:val="24"/>
        </w:rPr>
        <w:t>Bernardo C. de O, Pudla K.J, Longo G.Z, Vasconcelos F. de A.G de. Fatores associados ao estado nutricional de escolares de 7 a 10 anos: aspectos sociodemográficos, de consumo alimentar e estado nutricional dos pais. Rev. Bras Epidemiologia. 2012;15(3):651–61.</w:t>
      </w:r>
      <w:bookmarkEnd w:id="15"/>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12. </w:t>
      </w:r>
      <w:r w:rsidRPr="006C4E2F">
        <w:rPr>
          <w:rFonts w:ascii="Garamond" w:hAnsi="Garamond" w:cs="Times New Roman"/>
          <w:noProof/>
          <w:sz w:val="24"/>
          <w:szCs w:val="24"/>
        </w:rPr>
        <w:tab/>
      </w:r>
      <w:bookmarkStart w:id="16" w:name="_Hlk504058445"/>
      <w:r w:rsidRPr="006C4E2F">
        <w:rPr>
          <w:rFonts w:ascii="Garamond" w:hAnsi="Garamond" w:cs="Times New Roman"/>
          <w:noProof/>
          <w:sz w:val="24"/>
          <w:szCs w:val="24"/>
        </w:rPr>
        <w:t xml:space="preserve">Böhme M.T. Relações entre aptidão física , esporte e treinamento esportivo. Rev. Bras. Ciência e Movimento. 2003;11:97–104. </w:t>
      </w:r>
      <w:bookmarkEnd w:id="16"/>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13. </w:t>
      </w:r>
      <w:r w:rsidRPr="006C4E2F">
        <w:rPr>
          <w:rFonts w:ascii="Garamond" w:hAnsi="Garamond" w:cs="Times New Roman"/>
          <w:noProof/>
          <w:sz w:val="24"/>
          <w:szCs w:val="24"/>
        </w:rPr>
        <w:tab/>
      </w:r>
      <w:bookmarkStart w:id="17" w:name="_Hlk504058719"/>
      <w:r w:rsidRPr="006C4E2F">
        <w:rPr>
          <w:rFonts w:ascii="Garamond" w:hAnsi="Garamond" w:cs="Times New Roman"/>
          <w:noProof/>
          <w:sz w:val="24"/>
          <w:szCs w:val="24"/>
        </w:rPr>
        <w:t>Jochims S, Zeni A.E, Nunes H.M.B, Borfe L, Burgos M.S. Aptidão física relacionada ao desempenho motor de escolares</w:t>
      </w:r>
      <w:r w:rsidRPr="006C4E2F">
        <w:rPr>
          <w:rFonts w:ascii="Times New Roman" w:hAnsi="Times New Roman" w:cs="Times New Roman"/>
          <w:noProof/>
          <w:sz w:val="24"/>
          <w:szCs w:val="24"/>
        </w:rPr>
        <w:t> </w:t>
      </w:r>
      <w:r w:rsidRPr="006C4E2F">
        <w:rPr>
          <w:rFonts w:ascii="Garamond" w:hAnsi="Garamond" w:cs="Times New Roman"/>
          <w:noProof/>
          <w:sz w:val="24"/>
          <w:szCs w:val="24"/>
        </w:rPr>
        <w:t>: estudo comparativo dos hemisf</w:t>
      </w:r>
      <w:r w:rsidRPr="006C4E2F">
        <w:rPr>
          <w:rFonts w:ascii="Garamond" w:hAnsi="Garamond" w:cs="Garamond"/>
          <w:noProof/>
          <w:sz w:val="24"/>
          <w:szCs w:val="24"/>
        </w:rPr>
        <w:t>é</w:t>
      </w:r>
      <w:r w:rsidRPr="006C4E2F">
        <w:rPr>
          <w:rFonts w:ascii="Garamond" w:hAnsi="Garamond" w:cs="Times New Roman"/>
          <w:noProof/>
          <w:sz w:val="24"/>
          <w:szCs w:val="24"/>
        </w:rPr>
        <w:t xml:space="preserve">rios Norte </w:t>
      </w:r>
      <w:r w:rsidRPr="006C4E2F">
        <w:rPr>
          <w:rFonts w:ascii="Garamond" w:hAnsi="Garamond" w:cs="Garamond"/>
          <w:noProof/>
          <w:sz w:val="24"/>
          <w:szCs w:val="24"/>
        </w:rPr>
        <w:t>–</w:t>
      </w:r>
      <w:r w:rsidRPr="006C4E2F">
        <w:rPr>
          <w:rFonts w:ascii="Garamond" w:hAnsi="Garamond" w:cs="Times New Roman"/>
          <w:noProof/>
          <w:sz w:val="24"/>
          <w:szCs w:val="24"/>
        </w:rPr>
        <w:t xml:space="preserve"> Sul </w:t>
      </w:r>
      <w:r w:rsidRPr="006C4E2F">
        <w:rPr>
          <w:rFonts w:ascii="Garamond" w:hAnsi="Garamond" w:cs="Garamond"/>
          <w:noProof/>
          <w:sz w:val="24"/>
          <w:szCs w:val="24"/>
        </w:rPr>
        <w:t>–</w:t>
      </w:r>
      <w:r w:rsidRPr="006C4E2F">
        <w:rPr>
          <w:rFonts w:ascii="Garamond" w:hAnsi="Garamond" w:cs="Times New Roman"/>
          <w:noProof/>
          <w:sz w:val="24"/>
          <w:szCs w:val="24"/>
        </w:rPr>
        <w:t xml:space="preserve"> Leste - Oeste , da zona rural de Santa Cruz do Sul - RS. Cinergis. 2013;14(2):143–7. </w:t>
      </w:r>
      <w:bookmarkEnd w:id="17"/>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14. </w:t>
      </w:r>
      <w:r w:rsidRPr="006C4E2F">
        <w:rPr>
          <w:rFonts w:ascii="Garamond" w:hAnsi="Garamond" w:cs="Times New Roman"/>
          <w:noProof/>
          <w:sz w:val="24"/>
          <w:szCs w:val="24"/>
        </w:rPr>
        <w:tab/>
      </w:r>
      <w:bookmarkStart w:id="18" w:name="_Hlk504058731"/>
      <w:r w:rsidRPr="006C4E2F">
        <w:rPr>
          <w:rFonts w:ascii="Garamond" w:hAnsi="Garamond" w:cs="Times New Roman"/>
          <w:noProof/>
          <w:sz w:val="24"/>
          <w:szCs w:val="24"/>
        </w:rPr>
        <w:t xml:space="preserve">Pereira C.H, Ferreira D. da S, Copetti G.L, Guimarães L.C, Barbacena M.M. Aptidão física em escolares de uma unidade de ensino da rede pública de Brasília-DF. Rev. Bras. de Atividade Física &amp; Saúde. 2011;16(3):223–7. </w:t>
      </w:r>
      <w:bookmarkEnd w:id="18"/>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15. </w:t>
      </w:r>
      <w:r w:rsidRPr="006C4E2F">
        <w:rPr>
          <w:rFonts w:ascii="Garamond" w:hAnsi="Garamond" w:cs="Times New Roman"/>
          <w:noProof/>
          <w:sz w:val="24"/>
          <w:szCs w:val="24"/>
        </w:rPr>
        <w:tab/>
      </w:r>
      <w:bookmarkStart w:id="19" w:name="_Hlk504058750"/>
      <w:r w:rsidRPr="006C4E2F">
        <w:rPr>
          <w:rFonts w:ascii="Garamond" w:hAnsi="Garamond" w:cs="Times New Roman"/>
          <w:noProof/>
          <w:sz w:val="24"/>
          <w:szCs w:val="24"/>
        </w:rPr>
        <w:t>Araújo S.S de, Oliveira A.C.C de. Aptidão física em escolares de Aracaju. Rev. Bras. de Cineantropometria e Desempenho Humano. 2008;10(3):271–6.</w:t>
      </w:r>
      <w:bookmarkEnd w:id="19"/>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16. </w:t>
      </w:r>
      <w:r w:rsidRPr="006C4E2F">
        <w:rPr>
          <w:rFonts w:ascii="Garamond" w:hAnsi="Garamond" w:cs="Times New Roman"/>
          <w:noProof/>
          <w:sz w:val="24"/>
          <w:szCs w:val="24"/>
        </w:rPr>
        <w:tab/>
      </w:r>
      <w:bookmarkStart w:id="20" w:name="_Hlk504058875"/>
      <w:r w:rsidRPr="006C4E2F">
        <w:rPr>
          <w:rFonts w:ascii="Garamond" w:hAnsi="Garamond" w:cs="Times New Roman"/>
          <w:noProof/>
          <w:sz w:val="24"/>
          <w:szCs w:val="24"/>
        </w:rPr>
        <w:t xml:space="preserve">Dumith S. de C, Júnior M.R.A, Rombaldi A.J. Aptidão física relacionada à saúde de alunos do ensino fundamental do município de Rio Grande, RS, Brasil. Rev. Bras. Med. do Esporte. 2008;14(5):454–9. </w:t>
      </w:r>
      <w:bookmarkEnd w:id="20"/>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17. </w:t>
      </w:r>
      <w:r w:rsidRPr="006C4E2F">
        <w:rPr>
          <w:rFonts w:ascii="Garamond" w:hAnsi="Garamond" w:cs="Times New Roman"/>
          <w:noProof/>
          <w:sz w:val="24"/>
          <w:szCs w:val="24"/>
        </w:rPr>
        <w:tab/>
      </w:r>
      <w:bookmarkStart w:id="21" w:name="_Hlk504058889"/>
      <w:r w:rsidRPr="006C4E2F">
        <w:rPr>
          <w:rFonts w:ascii="Garamond" w:hAnsi="Garamond" w:cs="Times New Roman"/>
          <w:noProof/>
          <w:sz w:val="24"/>
          <w:szCs w:val="24"/>
        </w:rPr>
        <w:t>Boelhouwer C, Borges G.A. Aptidão Física relacionada à saúde de escolares de 11 a 14 anos de Marechal Cândido Rondon - PR. Cad. Educ. Física - Estudos e Reflexões. 2002;4(7):19–30</w:t>
      </w:r>
      <w:bookmarkEnd w:id="21"/>
      <w:r w:rsidRPr="006C4E2F">
        <w:rPr>
          <w:rFonts w:ascii="Garamond" w:hAnsi="Garamond" w:cs="Times New Roman"/>
          <w:noProof/>
          <w:sz w:val="24"/>
          <w:szCs w:val="24"/>
        </w:rPr>
        <w:t xml:space="preserve">. </w:t>
      </w:r>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18. </w:t>
      </w:r>
      <w:r w:rsidRPr="006C4E2F">
        <w:rPr>
          <w:rFonts w:ascii="Garamond" w:hAnsi="Garamond" w:cs="Times New Roman"/>
          <w:noProof/>
          <w:sz w:val="24"/>
          <w:szCs w:val="24"/>
        </w:rPr>
        <w:tab/>
      </w:r>
      <w:bookmarkStart w:id="22" w:name="_Hlk504058906"/>
      <w:r w:rsidRPr="006C4E2F">
        <w:rPr>
          <w:rFonts w:ascii="Garamond" w:hAnsi="Garamond" w:cs="Times New Roman"/>
          <w:noProof/>
          <w:sz w:val="24"/>
          <w:szCs w:val="24"/>
        </w:rPr>
        <w:t xml:space="preserve">Dellagrana R.A, Smolarek A.C, Laat E.F, Campos W. Estado nutricional e desempenho motor de crianças praticantes de handebol. Fitness &amp; Performance Journal. 2010;9(1):72–7. </w:t>
      </w:r>
      <w:bookmarkEnd w:id="22"/>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19. </w:t>
      </w:r>
      <w:r w:rsidRPr="006C4E2F">
        <w:rPr>
          <w:rFonts w:ascii="Garamond" w:hAnsi="Garamond" w:cs="Times New Roman"/>
          <w:noProof/>
          <w:sz w:val="24"/>
          <w:szCs w:val="24"/>
        </w:rPr>
        <w:tab/>
      </w:r>
      <w:bookmarkStart w:id="23" w:name="_Hlk504058481"/>
      <w:r w:rsidRPr="006C4E2F">
        <w:rPr>
          <w:rFonts w:ascii="Garamond" w:hAnsi="Garamond" w:cs="Times New Roman"/>
          <w:noProof/>
          <w:sz w:val="24"/>
          <w:szCs w:val="24"/>
        </w:rPr>
        <w:t xml:space="preserve">Gaya A.C.A. As ciências do desporto nos países de língua portuguesa: Uma abrodagem epistemológica. Tese de Doutorado, FCDEF, Universidade do Porto, Porto, 1994. </w:t>
      </w:r>
      <w:bookmarkEnd w:id="23"/>
    </w:p>
    <w:p w:rsidR="00757793" w:rsidRPr="006C4E2F" w:rsidRDefault="00757793" w:rsidP="00A76B74">
      <w:pPr>
        <w:widowControl w:val="0"/>
        <w:autoSpaceDE w:val="0"/>
        <w:autoSpaceDN w:val="0"/>
        <w:adjustRightInd w:val="0"/>
        <w:spacing w:before="100" w:after="100" w:line="240" w:lineRule="auto"/>
        <w:ind w:left="640" w:hanging="640"/>
        <w:rPr>
          <w:rFonts w:ascii="Garamond" w:hAnsi="Garamond" w:cs="Times New Roman"/>
          <w:noProof/>
          <w:sz w:val="24"/>
          <w:szCs w:val="24"/>
        </w:rPr>
      </w:pPr>
      <w:r w:rsidRPr="006C4E2F">
        <w:rPr>
          <w:rFonts w:ascii="Garamond" w:hAnsi="Garamond" w:cs="Times New Roman"/>
          <w:noProof/>
          <w:sz w:val="24"/>
          <w:szCs w:val="24"/>
        </w:rPr>
        <w:t xml:space="preserve">20. </w:t>
      </w:r>
      <w:r w:rsidRPr="006C4E2F">
        <w:rPr>
          <w:rFonts w:ascii="Garamond" w:hAnsi="Garamond" w:cs="Times New Roman"/>
          <w:noProof/>
          <w:sz w:val="24"/>
          <w:szCs w:val="24"/>
        </w:rPr>
        <w:tab/>
      </w:r>
      <w:bookmarkStart w:id="24" w:name="_Hlk504058492"/>
      <w:r w:rsidRPr="006C4E2F">
        <w:rPr>
          <w:rFonts w:ascii="Garamond" w:hAnsi="Garamond" w:cs="Times New Roman"/>
          <w:noProof/>
          <w:sz w:val="24"/>
          <w:szCs w:val="24"/>
        </w:rPr>
        <w:t>Petroski E.L. Antropometria técnicas e padronizações. 5</w:t>
      </w:r>
      <w:r w:rsidRPr="006C4E2F">
        <w:rPr>
          <w:rFonts w:ascii="Garamond" w:hAnsi="Garamond" w:cs="Times New Roman"/>
          <w:noProof/>
          <w:sz w:val="24"/>
          <w:szCs w:val="24"/>
          <w:vertAlign w:val="superscript"/>
        </w:rPr>
        <w:t>o</w:t>
      </w:r>
      <w:r w:rsidRPr="006C4E2F">
        <w:rPr>
          <w:rFonts w:ascii="Garamond" w:hAnsi="Garamond" w:cs="Times New Roman"/>
          <w:noProof/>
          <w:sz w:val="24"/>
          <w:szCs w:val="24"/>
        </w:rPr>
        <w:t xml:space="preserve">. Fontoura, editor. Várzea Paulo - São Paulo; 208 p. </w:t>
      </w:r>
      <w:bookmarkEnd w:id="24"/>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21. </w:t>
      </w:r>
      <w:r w:rsidRPr="006C4E2F">
        <w:rPr>
          <w:rFonts w:ascii="Garamond" w:hAnsi="Garamond" w:cs="Times New Roman"/>
          <w:noProof/>
          <w:sz w:val="24"/>
          <w:szCs w:val="24"/>
        </w:rPr>
        <w:tab/>
      </w:r>
      <w:bookmarkStart w:id="25" w:name="_Hlk504058918"/>
      <w:r w:rsidRPr="006C4E2F">
        <w:rPr>
          <w:rFonts w:ascii="Garamond" w:hAnsi="Garamond" w:cs="Times New Roman"/>
          <w:noProof/>
          <w:sz w:val="24"/>
          <w:szCs w:val="24"/>
        </w:rPr>
        <w:t xml:space="preserve">Suñé F.R, Dias-da-Costa J.S, Olinto M.T.A, Pattussi M.P. Prevalência e fatores associados para sobrepeso e obesidade em escolares de uma cidade no Sul do Brasil. Cad. Saúde Pública. 2007;23(6):1361–71. </w:t>
      </w:r>
      <w:bookmarkEnd w:id="25"/>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22. </w:t>
      </w:r>
      <w:r w:rsidRPr="006C4E2F">
        <w:rPr>
          <w:rFonts w:ascii="Garamond" w:hAnsi="Garamond" w:cs="Times New Roman"/>
          <w:noProof/>
          <w:sz w:val="24"/>
          <w:szCs w:val="24"/>
        </w:rPr>
        <w:tab/>
      </w:r>
      <w:bookmarkStart w:id="26" w:name="_Hlk504058929"/>
      <w:r w:rsidRPr="006C4E2F">
        <w:rPr>
          <w:rFonts w:ascii="Garamond" w:hAnsi="Garamond" w:cs="Times New Roman"/>
          <w:noProof/>
          <w:sz w:val="24"/>
          <w:szCs w:val="24"/>
        </w:rPr>
        <w:t xml:space="preserve">Pedraza D.F, Silva F.A, Melo N.L.S de, Araujo E.M.N, Sousa C.P da C. Estado nutricional e hábitos alimentares de escolares de Campina Grande, Paraíba, Brasil. Ciência &amp; Saúde Coletiva. 2017;22(2):469–77. </w:t>
      </w:r>
      <w:bookmarkEnd w:id="26"/>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23. </w:t>
      </w:r>
      <w:r w:rsidRPr="006C4E2F">
        <w:rPr>
          <w:rFonts w:ascii="Garamond" w:hAnsi="Garamond" w:cs="Times New Roman"/>
          <w:noProof/>
          <w:sz w:val="24"/>
          <w:szCs w:val="24"/>
        </w:rPr>
        <w:tab/>
      </w:r>
      <w:bookmarkStart w:id="27" w:name="_Hlk504058942"/>
      <w:r w:rsidRPr="006C4E2F">
        <w:rPr>
          <w:rFonts w:ascii="Garamond" w:hAnsi="Garamond" w:cs="Times New Roman"/>
          <w:noProof/>
          <w:sz w:val="24"/>
          <w:szCs w:val="24"/>
        </w:rPr>
        <w:t xml:space="preserve">Pegolo G.E, Vieira M, Silva D. Estado Nutricional de Escolares da Rede Pública de Ensino de Piedade, SP *. Segurança Alimentar e Nutricional. 2008;15(1):76–85. </w:t>
      </w:r>
      <w:bookmarkEnd w:id="27"/>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24. </w:t>
      </w:r>
      <w:r w:rsidRPr="006C4E2F">
        <w:rPr>
          <w:rFonts w:ascii="Garamond" w:hAnsi="Garamond" w:cs="Times New Roman"/>
          <w:noProof/>
          <w:sz w:val="24"/>
          <w:szCs w:val="24"/>
        </w:rPr>
        <w:tab/>
      </w:r>
      <w:bookmarkStart w:id="28" w:name="_Hlk504058953"/>
      <w:r w:rsidRPr="006C4E2F">
        <w:rPr>
          <w:rFonts w:ascii="Garamond" w:hAnsi="Garamond" w:cs="Times New Roman"/>
          <w:noProof/>
          <w:sz w:val="24"/>
          <w:szCs w:val="24"/>
        </w:rPr>
        <w:t xml:space="preserve">Freitas A.A.S, Leão D.P, Vasques Y.G.S, Pereira K, Ferreira I. de J. Estado nutricional de crianças e adolescentes do município de Presidente Figueiredo - Amazonas. 2011;81(2005):13–8. </w:t>
      </w:r>
      <w:bookmarkEnd w:id="28"/>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25. </w:t>
      </w:r>
      <w:r w:rsidRPr="006C4E2F">
        <w:rPr>
          <w:rFonts w:ascii="Garamond" w:hAnsi="Garamond" w:cs="Times New Roman"/>
          <w:noProof/>
          <w:sz w:val="24"/>
          <w:szCs w:val="24"/>
        </w:rPr>
        <w:tab/>
      </w:r>
      <w:bookmarkStart w:id="29" w:name="_Hlk504059052"/>
      <w:r w:rsidRPr="006C4E2F">
        <w:rPr>
          <w:rFonts w:ascii="Garamond" w:hAnsi="Garamond" w:cs="Times New Roman"/>
          <w:noProof/>
          <w:sz w:val="24"/>
          <w:szCs w:val="24"/>
        </w:rPr>
        <w:t>Bertin R.L, Karkle E.N.L, Ulbrich A.Z, Neto A.S, Bozza R, Araujo I.Q, Campos W. de. Estado nutricional e consumo alimentar de adolescentes da rede pública de ensino da cidade de São Mateus do Sul , Paraná , Brasil. Rev. Bras. Saúde Matern. Infant., Recife. 2008;8(4):435–43.</w:t>
      </w:r>
      <w:bookmarkEnd w:id="29"/>
      <w:r w:rsidRPr="006C4E2F">
        <w:rPr>
          <w:rFonts w:ascii="Garamond" w:hAnsi="Garamond" w:cs="Times New Roman"/>
          <w:noProof/>
          <w:sz w:val="24"/>
          <w:szCs w:val="24"/>
        </w:rPr>
        <w:t xml:space="preserve"> </w:t>
      </w:r>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26. </w:t>
      </w:r>
      <w:r w:rsidRPr="006C4E2F">
        <w:rPr>
          <w:rFonts w:ascii="Garamond" w:hAnsi="Garamond" w:cs="Times New Roman"/>
          <w:noProof/>
          <w:sz w:val="24"/>
          <w:szCs w:val="24"/>
        </w:rPr>
        <w:tab/>
      </w:r>
      <w:bookmarkStart w:id="30" w:name="_Hlk504059063"/>
      <w:r w:rsidRPr="006C4E2F">
        <w:rPr>
          <w:rFonts w:ascii="Garamond" w:hAnsi="Garamond" w:cs="Times New Roman"/>
          <w:noProof/>
          <w:sz w:val="24"/>
          <w:szCs w:val="24"/>
        </w:rPr>
        <w:t xml:space="preserve">Dórea V, Ronque E.R.V, Cyrino E.S, Junior H.S, Gobbo L.A, Carvalho F.O, Souza C.F, Melo J.C, Gaion P.A. Aptidão física relacionada à saúde em escolares de Jequié, BA, Brasil. Rev. Bras. Med. do Esporte. 2008;14(6):494–9. </w:t>
      </w:r>
      <w:bookmarkEnd w:id="30"/>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27. </w:t>
      </w:r>
      <w:r w:rsidRPr="006C4E2F">
        <w:rPr>
          <w:rFonts w:ascii="Garamond" w:hAnsi="Garamond" w:cs="Times New Roman"/>
          <w:noProof/>
          <w:sz w:val="24"/>
          <w:szCs w:val="24"/>
        </w:rPr>
        <w:tab/>
      </w:r>
      <w:bookmarkStart w:id="31" w:name="_Hlk504059075"/>
      <w:r w:rsidRPr="006C4E2F">
        <w:rPr>
          <w:rFonts w:ascii="Garamond" w:hAnsi="Garamond" w:cs="Times New Roman"/>
          <w:noProof/>
          <w:sz w:val="24"/>
          <w:szCs w:val="24"/>
        </w:rPr>
        <w:t xml:space="preserve">Dumith S.C, Ramires V.V, Souza M.J.A, Moraes D.S, Petry F.G, Oliveira E.S, et. al. Aptidão física relacionada ao desempenho motor em escolares de sete a 15 anos. Rev. Bras. Educ. Física e Esporte. 2010;24(1):5–14. </w:t>
      </w:r>
      <w:bookmarkEnd w:id="31"/>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28. </w:t>
      </w:r>
      <w:r w:rsidRPr="006C4E2F">
        <w:rPr>
          <w:rFonts w:ascii="Garamond" w:hAnsi="Garamond" w:cs="Times New Roman"/>
          <w:noProof/>
          <w:sz w:val="24"/>
          <w:szCs w:val="24"/>
        </w:rPr>
        <w:tab/>
        <w:t>T</w:t>
      </w:r>
      <w:bookmarkStart w:id="32" w:name="_Hlk504059086"/>
      <w:r w:rsidRPr="006C4E2F">
        <w:rPr>
          <w:rFonts w:ascii="Garamond" w:hAnsi="Garamond" w:cs="Times New Roman"/>
          <w:noProof/>
          <w:sz w:val="24"/>
          <w:szCs w:val="24"/>
        </w:rPr>
        <w:t xml:space="preserve">ornquist D, Tornquist L, Reckziegel M.B, Reuter C.P, Burgos M.S. Aptidão física relacionada ao desempenho motor nas séries iniciais e a intervenção do profissional de educação física. Rev. Atenção à Saúde. 2014;12(41):19–27. </w:t>
      </w:r>
      <w:bookmarkEnd w:id="32"/>
    </w:p>
    <w:p w:rsidR="00757793" w:rsidRPr="006C4E2F" w:rsidRDefault="00757793" w:rsidP="00A76B74">
      <w:pPr>
        <w:widowControl w:val="0"/>
        <w:autoSpaceDE w:val="0"/>
        <w:autoSpaceDN w:val="0"/>
        <w:adjustRightInd w:val="0"/>
        <w:spacing w:before="100" w:after="100"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 xml:space="preserve">29. </w:t>
      </w:r>
      <w:r w:rsidRPr="006C4E2F">
        <w:rPr>
          <w:rFonts w:ascii="Garamond" w:hAnsi="Garamond" w:cs="Times New Roman"/>
          <w:noProof/>
          <w:sz w:val="24"/>
          <w:szCs w:val="24"/>
        </w:rPr>
        <w:tab/>
      </w:r>
      <w:bookmarkStart w:id="33" w:name="_Hlk504059103"/>
      <w:r w:rsidRPr="006C4E2F">
        <w:rPr>
          <w:rFonts w:ascii="Garamond" w:hAnsi="Garamond" w:cs="Times New Roman"/>
          <w:noProof/>
          <w:sz w:val="24"/>
          <w:szCs w:val="24"/>
        </w:rPr>
        <w:t xml:space="preserve">Luguetti C.N, Ré A.H. N, Böhme M.T.S. Indicadores de aptidão física de escolares da região centro-oeste da cidade de São Paulo. Rev. Bras. Cineantropometria e Desempenho Hum. 2010;12(5):331–7. </w:t>
      </w:r>
      <w:bookmarkEnd w:id="33"/>
    </w:p>
    <w:p w:rsidR="006C4E2F" w:rsidRDefault="00757793" w:rsidP="00A76B74">
      <w:pPr>
        <w:spacing w:line="240" w:lineRule="auto"/>
        <w:ind w:left="640" w:hanging="640"/>
        <w:jc w:val="both"/>
        <w:rPr>
          <w:rFonts w:ascii="Garamond" w:hAnsi="Garamond" w:cs="Times New Roman"/>
          <w:noProof/>
          <w:sz w:val="24"/>
          <w:szCs w:val="24"/>
        </w:rPr>
      </w:pPr>
      <w:r w:rsidRPr="006C4E2F">
        <w:rPr>
          <w:rFonts w:ascii="Garamond" w:hAnsi="Garamond" w:cs="Times New Roman"/>
          <w:noProof/>
          <w:sz w:val="24"/>
          <w:szCs w:val="24"/>
        </w:rPr>
        <w:t>3</w:t>
      </w:r>
      <w:r w:rsidR="00D91755" w:rsidRPr="006C4E2F">
        <w:rPr>
          <w:rFonts w:ascii="Garamond" w:hAnsi="Garamond" w:cs="Times New Roman"/>
          <w:noProof/>
          <w:sz w:val="24"/>
          <w:szCs w:val="24"/>
        </w:rPr>
        <w:t>0</w:t>
      </w:r>
      <w:r w:rsidRPr="006C4E2F">
        <w:rPr>
          <w:rFonts w:ascii="Garamond" w:hAnsi="Garamond" w:cs="Times New Roman"/>
          <w:noProof/>
          <w:sz w:val="24"/>
          <w:szCs w:val="24"/>
        </w:rPr>
        <w:t xml:space="preserve">. </w:t>
      </w:r>
      <w:r w:rsidRPr="006C4E2F">
        <w:rPr>
          <w:rFonts w:ascii="Garamond" w:hAnsi="Garamond" w:cs="Times New Roman"/>
          <w:noProof/>
          <w:sz w:val="24"/>
          <w:szCs w:val="24"/>
        </w:rPr>
        <w:tab/>
      </w:r>
      <w:bookmarkStart w:id="34" w:name="_Hlk504059131"/>
      <w:r w:rsidRPr="006C4E2F">
        <w:rPr>
          <w:rFonts w:ascii="Garamond" w:hAnsi="Garamond" w:cs="Times New Roman"/>
          <w:noProof/>
          <w:sz w:val="24"/>
          <w:szCs w:val="24"/>
        </w:rPr>
        <w:t>Ramos M.G, Falsarella G.R. Flexibilidade em escolares: aptidão física direcionada à qualidade de vida. In: Educação Física Escolar e promoção de saúde. 2008. p. 147–155.</w:t>
      </w:r>
      <w:bookmarkEnd w:id="34"/>
      <w:r w:rsidR="00A76B74">
        <w:rPr>
          <w:rFonts w:ascii="Garamond" w:hAnsi="Garamond" w:cs="Times New Roman"/>
          <w:noProof/>
          <w:sz w:val="24"/>
          <w:szCs w:val="24"/>
        </w:rPr>
        <w:t xml:space="preserve"> </w:t>
      </w:r>
    </w:p>
    <w:p w:rsidR="006C4E2F" w:rsidRPr="006C4E2F" w:rsidRDefault="006C4E2F" w:rsidP="006C4E2F">
      <w:pPr>
        <w:spacing w:line="480" w:lineRule="auto"/>
        <w:ind w:left="640" w:hanging="640"/>
        <w:jc w:val="both"/>
        <w:rPr>
          <w:rFonts w:ascii="Garamond" w:hAnsi="Garamond" w:cs="Times New Roman"/>
          <w:noProof/>
          <w:sz w:val="24"/>
          <w:szCs w:val="24"/>
        </w:rPr>
      </w:pPr>
    </w:p>
    <w:sectPr w:rsidR="006C4E2F" w:rsidRPr="006C4E2F">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75D" w:rsidRDefault="00BA575D" w:rsidP="00D5125D">
      <w:pPr>
        <w:spacing w:after="0" w:line="240" w:lineRule="auto"/>
      </w:pPr>
      <w:r>
        <w:separator/>
      </w:r>
    </w:p>
  </w:endnote>
  <w:endnote w:type="continuationSeparator" w:id="0">
    <w:p w:rsidR="00BA575D" w:rsidRDefault="00BA575D" w:rsidP="00D5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charset w:val="00"/>
    <w:family w:val="swiss"/>
    <w:pitch w:val="variable"/>
    <w:sig w:usb0="E10022FF" w:usb1="C000E47F" w:usb2="00000029" w:usb3="00000000" w:csb0="000001D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705718"/>
      <w:docPartObj>
        <w:docPartGallery w:val="Page Numbers (Bottom of Page)"/>
        <w:docPartUnique/>
      </w:docPartObj>
    </w:sdtPr>
    <w:sdtEndPr/>
    <w:sdtContent>
      <w:p w:rsidR="00CA361C" w:rsidRDefault="00CA361C">
        <w:pPr>
          <w:pStyle w:val="Rodap"/>
          <w:jc w:val="right"/>
        </w:pPr>
        <w:r>
          <w:fldChar w:fldCharType="begin"/>
        </w:r>
        <w:r>
          <w:instrText>PAGE   \* MERGEFORMAT</w:instrText>
        </w:r>
        <w:r>
          <w:fldChar w:fldCharType="separate"/>
        </w:r>
        <w:r w:rsidR="006C4E2F">
          <w:rPr>
            <w:noProof/>
          </w:rPr>
          <w:t>30</w:t>
        </w:r>
        <w:r>
          <w:fldChar w:fldCharType="end"/>
        </w:r>
      </w:p>
    </w:sdtContent>
  </w:sdt>
  <w:p w:rsidR="00A47EAE" w:rsidRDefault="00A47E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75D" w:rsidRDefault="00BA575D" w:rsidP="00D5125D">
      <w:pPr>
        <w:spacing w:after="0" w:line="240" w:lineRule="auto"/>
      </w:pPr>
      <w:r>
        <w:separator/>
      </w:r>
    </w:p>
  </w:footnote>
  <w:footnote w:type="continuationSeparator" w:id="0">
    <w:p w:rsidR="00BA575D" w:rsidRDefault="00BA575D" w:rsidP="00D51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B9A"/>
    <w:multiLevelType w:val="hybridMultilevel"/>
    <w:tmpl w:val="713C7430"/>
    <w:lvl w:ilvl="0" w:tplc="8830365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C02B35"/>
    <w:multiLevelType w:val="multilevel"/>
    <w:tmpl w:val="7F38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90504"/>
    <w:multiLevelType w:val="multilevel"/>
    <w:tmpl w:val="27AAF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B5878"/>
    <w:multiLevelType w:val="multilevel"/>
    <w:tmpl w:val="702E31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D7DB9"/>
    <w:multiLevelType w:val="multilevel"/>
    <w:tmpl w:val="D04A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46415"/>
    <w:multiLevelType w:val="multilevel"/>
    <w:tmpl w:val="973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07498"/>
    <w:multiLevelType w:val="multilevel"/>
    <w:tmpl w:val="874A9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B3ACA"/>
    <w:multiLevelType w:val="multilevel"/>
    <w:tmpl w:val="21425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41791"/>
    <w:multiLevelType w:val="multilevel"/>
    <w:tmpl w:val="BC3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5C1D48"/>
    <w:multiLevelType w:val="multilevel"/>
    <w:tmpl w:val="2E783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F35698"/>
    <w:multiLevelType w:val="multilevel"/>
    <w:tmpl w:val="BBA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3"/>
  </w:num>
  <w:num w:numId="4">
    <w:abstractNumId w:val="2"/>
  </w:num>
  <w:num w:numId="5">
    <w:abstractNumId w:val="9"/>
  </w:num>
  <w:num w:numId="6">
    <w:abstractNumId w:val="6"/>
  </w:num>
  <w:num w:numId="7">
    <w:abstractNumId w:val="5"/>
  </w:num>
  <w:num w:numId="8">
    <w:abstractNumId w:val="10"/>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8"/>
    <w:rsid w:val="000465DB"/>
    <w:rsid w:val="00143957"/>
    <w:rsid w:val="00241693"/>
    <w:rsid w:val="00265819"/>
    <w:rsid w:val="003B239B"/>
    <w:rsid w:val="00516B50"/>
    <w:rsid w:val="00532072"/>
    <w:rsid w:val="00543BE3"/>
    <w:rsid w:val="00603B51"/>
    <w:rsid w:val="006C4E2F"/>
    <w:rsid w:val="00757793"/>
    <w:rsid w:val="007707B9"/>
    <w:rsid w:val="008F0233"/>
    <w:rsid w:val="009670C5"/>
    <w:rsid w:val="00A240E3"/>
    <w:rsid w:val="00A307D8"/>
    <w:rsid w:val="00A47EAE"/>
    <w:rsid w:val="00A76B74"/>
    <w:rsid w:val="00B5198B"/>
    <w:rsid w:val="00B85123"/>
    <w:rsid w:val="00BA575D"/>
    <w:rsid w:val="00CA361C"/>
    <w:rsid w:val="00CB0CE7"/>
    <w:rsid w:val="00D5125D"/>
    <w:rsid w:val="00D91755"/>
    <w:rsid w:val="00E0663F"/>
    <w:rsid w:val="00E7116C"/>
    <w:rsid w:val="00F16580"/>
    <w:rsid w:val="00F47A9E"/>
    <w:rsid w:val="00F53E49"/>
    <w:rsid w:val="00F64434"/>
    <w:rsid w:val="00FB6ABF"/>
    <w:rsid w:val="00FD4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A8170-C47A-41C8-A5A9-1D747886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07D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B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757793"/>
    <w:rPr>
      <w:sz w:val="24"/>
      <w:szCs w:val="24"/>
    </w:rPr>
  </w:style>
  <w:style w:type="paragraph" w:styleId="Textodecomentrio">
    <w:name w:val="annotation text"/>
    <w:basedOn w:val="Normal"/>
    <w:link w:val="TextodecomentrioChar"/>
    <w:uiPriority w:val="99"/>
    <w:semiHidden/>
    <w:unhideWhenUsed/>
    <w:rsid w:val="00757793"/>
    <w:pPr>
      <w:spacing w:after="160" w:line="240" w:lineRule="auto"/>
    </w:pPr>
    <w:rPr>
      <w:sz w:val="24"/>
      <w:szCs w:val="24"/>
    </w:rPr>
  </w:style>
  <w:style w:type="character" w:customStyle="1" w:styleId="TextodebaloChar">
    <w:name w:val="Texto de balão Char"/>
    <w:basedOn w:val="Fontepargpadro"/>
    <w:link w:val="Textodebalo"/>
    <w:uiPriority w:val="99"/>
    <w:semiHidden/>
    <w:rsid w:val="00757793"/>
    <w:rPr>
      <w:rFonts w:ascii="Segoe UI" w:hAnsi="Segoe UI" w:cs="Segoe UI"/>
      <w:sz w:val="18"/>
      <w:szCs w:val="18"/>
    </w:rPr>
  </w:style>
  <w:style w:type="paragraph" w:styleId="Textodebalo">
    <w:name w:val="Balloon Text"/>
    <w:basedOn w:val="Normal"/>
    <w:link w:val="TextodebaloChar"/>
    <w:uiPriority w:val="99"/>
    <w:semiHidden/>
    <w:unhideWhenUsed/>
    <w:rsid w:val="00757793"/>
    <w:pPr>
      <w:spacing w:after="0" w:line="240" w:lineRule="auto"/>
    </w:pPr>
    <w:rPr>
      <w:rFonts w:ascii="Segoe UI" w:hAnsi="Segoe UI" w:cs="Segoe UI"/>
      <w:sz w:val="18"/>
      <w:szCs w:val="18"/>
    </w:rPr>
  </w:style>
  <w:style w:type="character" w:styleId="Forte">
    <w:name w:val="Strong"/>
    <w:basedOn w:val="Fontepargpadro"/>
    <w:uiPriority w:val="22"/>
    <w:qFormat/>
    <w:rsid w:val="00757793"/>
    <w:rPr>
      <w:b/>
      <w:bCs/>
    </w:rPr>
  </w:style>
  <w:style w:type="character" w:styleId="nfase">
    <w:name w:val="Emphasis"/>
    <w:basedOn w:val="Fontepargpadro"/>
    <w:uiPriority w:val="20"/>
    <w:qFormat/>
    <w:rsid w:val="00757793"/>
    <w:rPr>
      <w:i/>
      <w:iCs/>
    </w:rPr>
  </w:style>
  <w:style w:type="paragraph" w:styleId="PargrafodaLista">
    <w:name w:val="List Paragraph"/>
    <w:basedOn w:val="Normal"/>
    <w:uiPriority w:val="34"/>
    <w:qFormat/>
    <w:rsid w:val="00757793"/>
    <w:pPr>
      <w:spacing w:after="160" w:line="259" w:lineRule="auto"/>
      <w:ind w:left="720"/>
      <w:contextualSpacing/>
    </w:pPr>
  </w:style>
  <w:style w:type="table" w:styleId="TabelaSimples2">
    <w:name w:val="Plain Table 2"/>
    <w:basedOn w:val="Tabelanormal"/>
    <w:uiPriority w:val="42"/>
    <w:rsid w:val="007577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ssuntodocomentrioChar">
    <w:name w:val="Assunto do comentário Char"/>
    <w:basedOn w:val="TextodecomentrioChar"/>
    <w:link w:val="Assuntodocomentrio"/>
    <w:uiPriority w:val="99"/>
    <w:semiHidden/>
    <w:rsid w:val="00757793"/>
    <w:rPr>
      <w:b/>
      <w:bCs/>
      <w:sz w:val="20"/>
      <w:szCs w:val="20"/>
    </w:rPr>
  </w:style>
  <w:style w:type="paragraph" w:styleId="Assuntodocomentrio">
    <w:name w:val="annotation subject"/>
    <w:basedOn w:val="Textodecomentrio"/>
    <w:next w:val="Textodecomentrio"/>
    <w:link w:val="AssuntodocomentrioChar"/>
    <w:uiPriority w:val="99"/>
    <w:semiHidden/>
    <w:unhideWhenUsed/>
    <w:rsid w:val="00757793"/>
    <w:rPr>
      <w:b/>
      <w:bCs/>
      <w:sz w:val="20"/>
      <w:szCs w:val="20"/>
    </w:rPr>
  </w:style>
  <w:style w:type="paragraph" w:styleId="Cabealho">
    <w:name w:val="header"/>
    <w:basedOn w:val="Normal"/>
    <w:link w:val="CabealhoChar"/>
    <w:uiPriority w:val="99"/>
    <w:unhideWhenUsed/>
    <w:rsid w:val="007577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793"/>
  </w:style>
  <w:style w:type="paragraph" w:styleId="Rodap">
    <w:name w:val="footer"/>
    <w:basedOn w:val="Normal"/>
    <w:link w:val="RodapChar"/>
    <w:uiPriority w:val="99"/>
    <w:unhideWhenUsed/>
    <w:rsid w:val="00757793"/>
    <w:pPr>
      <w:tabs>
        <w:tab w:val="center" w:pos="4252"/>
        <w:tab w:val="right" w:pos="8504"/>
      </w:tabs>
      <w:spacing w:after="0" w:line="240" w:lineRule="auto"/>
    </w:pPr>
  </w:style>
  <w:style w:type="character" w:customStyle="1" w:styleId="RodapChar">
    <w:name w:val="Rodapé Char"/>
    <w:basedOn w:val="Fontepargpadro"/>
    <w:link w:val="Rodap"/>
    <w:uiPriority w:val="99"/>
    <w:rsid w:val="00757793"/>
  </w:style>
  <w:style w:type="character" w:styleId="Hyperlink">
    <w:name w:val="Hyperlink"/>
    <w:uiPriority w:val="99"/>
    <w:unhideWhenUsed/>
    <w:rsid w:val="00A76B74"/>
    <w:rPr>
      <w:color w:val="0000FF"/>
      <w:u w:val="single"/>
    </w:rPr>
  </w:style>
  <w:style w:type="paragraph" w:styleId="Pr-formataoHTML">
    <w:name w:val="HTML Preformatted"/>
    <w:basedOn w:val="Normal"/>
    <w:link w:val="Pr-formataoHTMLChar"/>
    <w:uiPriority w:val="99"/>
    <w:semiHidden/>
    <w:unhideWhenUsed/>
    <w:rsid w:val="00A76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76B7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7895-5905" TargetMode="External"/><Relationship Id="rId13" Type="http://schemas.openxmlformats.org/officeDocument/2006/relationships/hyperlink" Target="mailto:daurimar@bol.com.br" TargetMode="Externa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hyperlink" Target="http://www.periodicos.ufam.edu.br/BIUS/index" TargetMode="External"/><Relationship Id="rId12" Type="http://schemas.openxmlformats.org/officeDocument/2006/relationships/hyperlink" Target="mailto:ijf@usp.br"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ice.carneiro@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chart" Target="charts/chart8.xml"/><Relationship Id="rId10" Type="http://schemas.openxmlformats.org/officeDocument/2006/relationships/hyperlink" Target="http://orcid.org/0000-0002-9242-8922" TargetMode="Externa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dreina%20Medeiros\Desktop\TCC%20ANDREINAA\Grafico%20ESTADO%20NUTRICIO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dreina%20Medeiros\Desktop\TCC%20ANDREINAA\Grafico%20ESTADO%20NUTRICIO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192746956526485"/>
          <c:y val="0.31291799632967809"/>
          <c:w val="0.49173484101461257"/>
          <c:h val="0.65629216009593749"/>
        </c:manualLayout>
      </c:layout>
      <c:pie3DChart>
        <c:varyColors val="1"/>
        <c:ser>
          <c:idx val="0"/>
          <c:order val="0"/>
          <c:explosion val="19"/>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7A17-481F-96E5-0839BD774F5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7A17-481F-96E5-0839BD774F5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7A17-481F-96E5-0839BD774F59}"/>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7A17-481F-96E5-0839BD774F59}"/>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7A17-481F-96E5-0839BD774F59}"/>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7A17-481F-96E5-0839BD774F59}"/>
              </c:ext>
            </c:extLst>
          </c:dPt>
          <c:dLbls>
            <c:dLbl>
              <c:idx val="0"/>
              <c:layout>
                <c:manualLayout>
                  <c:x val="0.14814814814814803"/>
                  <c:y val="-2.71186440677966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17-481F-96E5-0839BD774F59}"/>
                </c:ext>
              </c:extLst>
            </c:dLbl>
            <c:dLbl>
              <c:idx val="1"/>
              <c:layout>
                <c:manualLayout>
                  <c:x val="0.20811287477954143"/>
                  <c:y val="4.06779661016949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17-481F-96E5-0839BD774F59}"/>
                </c:ext>
              </c:extLst>
            </c:dLbl>
            <c:dLbl>
              <c:idx val="2"/>
              <c:layout>
                <c:manualLayout>
                  <c:x val="8.5712070906871662E-2"/>
                  <c:y val="-3.16384824494724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A17-481F-96E5-0839BD774F59}"/>
                </c:ext>
              </c:extLst>
            </c:dLbl>
            <c:dLbl>
              <c:idx val="3"/>
              <c:layout>
                <c:manualLayout>
                  <c:x val="-7.054673721340389E-2"/>
                  <c:y val="3.61581920903954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17-481F-96E5-0839BD774F59}"/>
                </c:ext>
              </c:extLst>
            </c:dLbl>
            <c:dLbl>
              <c:idx val="4"/>
              <c:layout>
                <c:manualLayout>
                  <c:x val="-7.4074074074074112E-2"/>
                  <c:y val="-3.61581920903954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A17-481F-96E5-0839BD774F59}"/>
                </c:ext>
              </c:extLst>
            </c:dLbl>
            <c:dLbl>
              <c:idx val="5"/>
              <c:layout>
                <c:manualLayout>
                  <c:x val="1.0582010582010581E-2"/>
                  <c:y val="-7.683615819209040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A17-481F-96E5-0839BD774F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Planilha2!$A$10:$A$15</c:f>
              <c:strCache>
                <c:ptCount val="6"/>
                <c:pt idx="0">
                  <c:v>MAGREZA ACENTUADA </c:v>
                </c:pt>
                <c:pt idx="1">
                  <c:v>MAGREZA </c:v>
                </c:pt>
                <c:pt idx="2">
                  <c:v>EUTROFIA </c:v>
                </c:pt>
                <c:pt idx="3">
                  <c:v>SOBREPESO</c:v>
                </c:pt>
                <c:pt idx="4">
                  <c:v>OBESIDADE</c:v>
                </c:pt>
                <c:pt idx="5">
                  <c:v>OBESIDADE GRAVE</c:v>
                </c:pt>
              </c:strCache>
            </c:strRef>
          </c:cat>
          <c:val>
            <c:numRef>
              <c:f>Planilha2!$B$10:$B$15</c:f>
              <c:numCache>
                <c:formatCode>0%</c:formatCode>
                <c:ptCount val="6"/>
                <c:pt idx="0">
                  <c:v>0.01</c:v>
                </c:pt>
                <c:pt idx="1">
                  <c:v>0.03</c:v>
                </c:pt>
                <c:pt idx="2">
                  <c:v>0.8</c:v>
                </c:pt>
                <c:pt idx="3">
                  <c:v>0.09</c:v>
                </c:pt>
                <c:pt idx="4">
                  <c:v>0.06</c:v>
                </c:pt>
                <c:pt idx="5">
                  <c:v>0.01</c:v>
                </c:pt>
              </c:numCache>
            </c:numRef>
          </c:val>
          <c:extLst>
            <c:ext xmlns:c16="http://schemas.microsoft.com/office/drawing/2014/chart" uri="{C3380CC4-5D6E-409C-BE32-E72D297353CC}">
              <c16:uniqueId val="{0000000C-7A17-481F-96E5-0839BD774F5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123349205855195"/>
          <c:y val="0.29837184286390434"/>
          <c:w val="0.472263131140228"/>
          <c:h val="0.65291023048348462"/>
        </c:manualLayout>
      </c:layout>
      <c:pie3DChart>
        <c:varyColors val="1"/>
        <c:ser>
          <c:idx val="0"/>
          <c:order val="0"/>
          <c:dPt>
            <c:idx val="0"/>
            <c:bubble3D val="0"/>
            <c:explosion val="13"/>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4611-4B41-B88B-04379708C578}"/>
              </c:ext>
            </c:extLst>
          </c:dPt>
          <c:dPt>
            <c:idx val="1"/>
            <c:bubble3D val="0"/>
            <c:explosion val="1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4611-4B41-B88B-04379708C578}"/>
              </c:ext>
            </c:extLst>
          </c:dPt>
          <c:dPt>
            <c:idx val="2"/>
            <c:bubble3D val="0"/>
            <c:explosion val="1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4611-4B41-B88B-04379708C578}"/>
              </c:ext>
            </c:extLst>
          </c:dPt>
          <c:dPt>
            <c:idx val="3"/>
            <c:bubble3D val="0"/>
            <c:explosion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4611-4B41-B88B-04379708C578}"/>
              </c:ext>
            </c:extLst>
          </c:dPt>
          <c:dPt>
            <c:idx val="4"/>
            <c:bubble3D val="0"/>
            <c:explosion val="1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4611-4B41-B88B-04379708C578}"/>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4611-4B41-B88B-04379708C578}"/>
              </c:ext>
            </c:extLst>
          </c:dPt>
          <c:dLbls>
            <c:dLbl>
              <c:idx val="0"/>
              <c:layout>
                <c:manualLayout>
                  <c:x val="0.12557832121612689"/>
                  <c:y val="-9.88986289053719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611-4B41-B88B-04379708C578}"/>
                </c:ext>
              </c:extLst>
            </c:dLbl>
            <c:dLbl>
              <c:idx val="1"/>
              <c:layout>
                <c:manualLayout>
                  <c:x val="0.18506278916060806"/>
                  <c:y val="1.79815688918857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611-4B41-B88B-04379708C578}"/>
                </c:ext>
              </c:extLst>
            </c:dLbl>
            <c:dLbl>
              <c:idx val="2"/>
              <c:layout>
                <c:manualLayout>
                  <c:x val="8.5922009253139461E-2"/>
                  <c:y val="-1.79815688918858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11-4B41-B88B-04379708C578}"/>
                </c:ext>
              </c:extLst>
            </c:dLbl>
            <c:dLbl>
              <c:idx val="3"/>
              <c:layout>
                <c:manualLayout>
                  <c:x val="-0.1024454725710509"/>
                  <c:y val="3.14677455608001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611-4B41-B88B-04379708C578}"/>
                </c:ext>
              </c:extLst>
            </c:dLbl>
            <c:dLbl>
              <c:idx val="4"/>
              <c:layout>
                <c:manualLayout>
                  <c:x val="-0.10905485789821547"/>
                  <c:y val="-2.69723533378287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611-4B41-B88B-04379708C578}"/>
                </c:ext>
              </c:extLst>
            </c:dLbl>
            <c:dLbl>
              <c:idx val="5"/>
              <c:layout>
                <c:manualLayout>
                  <c:x val="-2.3132848645076007E-2"/>
                  <c:y val="-0.1123848055742863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611-4B41-B88B-04379708C5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Planilha2!$A$2:$A$7</c:f>
              <c:strCache>
                <c:ptCount val="6"/>
                <c:pt idx="0">
                  <c:v>MAGREZA ACENTUADA </c:v>
                </c:pt>
                <c:pt idx="1">
                  <c:v>MAGREZA </c:v>
                </c:pt>
                <c:pt idx="2">
                  <c:v>EUTROFIA </c:v>
                </c:pt>
                <c:pt idx="3">
                  <c:v>SOBREPESO</c:v>
                </c:pt>
                <c:pt idx="4">
                  <c:v>OBESIDADE</c:v>
                </c:pt>
                <c:pt idx="5">
                  <c:v>OBESIDADE GRAVE</c:v>
                </c:pt>
              </c:strCache>
            </c:strRef>
          </c:cat>
          <c:val>
            <c:numRef>
              <c:f>Planilha2!$B$2:$B$7</c:f>
              <c:numCache>
                <c:formatCode>0%</c:formatCode>
                <c:ptCount val="6"/>
                <c:pt idx="0">
                  <c:v>0.01</c:v>
                </c:pt>
                <c:pt idx="1">
                  <c:v>0.02</c:v>
                </c:pt>
                <c:pt idx="2">
                  <c:v>0.82</c:v>
                </c:pt>
                <c:pt idx="3">
                  <c:v>0.12</c:v>
                </c:pt>
                <c:pt idx="4">
                  <c:v>0.03</c:v>
                </c:pt>
                <c:pt idx="5">
                  <c:v>0</c:v>
                </c:pt>
              </c:numCache>
            </c:numRef>
          </c:val>
          <c:extLst>
            <c:ext xmlns:c16="http://schemas.microsoft.com/office/drawing/2014/chart" uri="{C3380CC4-5D6E-409C-BE32-E72D297353CC}">
              <c16:uniqueId val="{0000000C-4611-4B41-B88B-04379708C57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640877261292577E-2"/>
          <c:y val="0.21448996507015566"/>
          <c:w val="0.89635617745890583"/>
          <c:h val="0.62030548812977315"/>
        </c:manualLayout>
      </c:layout>
      <c:pie3DChart>
        <c:varyColors val="1"/>
        <c:ser>
          <c:idx val="0"/>
          <c:order val="0"/>
          <c:tx>
            <c:strRef>
              <c:f>Planilha1!$B$1</c:f>
              <c:strCache>
                <c:ptCount val="1"/>
                <c:pt idx="0">
                  <c:v>Flexibilidade Sexo Masculino</c:v>
                </c:pt>
              </c:strCache>
            </c:strRef>
          </c:tx>
          <c:explosion val="12"/>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8EDD-4DF9-9662-ABD2EEA9E261}"/>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8EDD-4DF9-9662-ABD2EEA9E261}"/>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8EDD-4DF9-9662-ABD2EEA9E261}"/>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8EDD-4DF9-9662-ABD2EEA9E261}"/>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8EDD-4DF9-9662-ABD2EEA9E261}"/>
              </c:ext>
            </c:extLst>
          </c:dPt>
          <c:dLbls>
            <c:dLbl>
              <c:idx val="0"/>
              <c:layout>
                <c:manualLayout>
                  <c:x val="5.385698390961989E-2"/>
                  <c:y val="-5.13367313288631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rgbClr val="44546A">
                            <a:lumMod val="75000"/>
                          </a:srgbClr>
                        </a:solidFill>
                        <a:latin typeface="+mn-lt"/>
                        <a:ea typeface="+mn-ea"/>
                        <a:cs typeface="+mn-cs"/>
                      </a:defRPr>
                    </a:pPr>
                    <a:r>
                      <a:rPr lang="en-US">
                        <a:solidFill>
                          <a:srgbClr val="44546A">
                            <a:lumMod val="75000"/>
                          </a:srgbClr>
                        </a:solidFill>
                      </a:rPr>
                      <a:t>Muito Fraco</a:t>
                    </a:r>
                  </a:p>
                  <a:p>
                    <a:pPr>
                      <a:defRPr>
                        <a:solidFill>
                          <a:srgbClr val="44546A">
                            <a:lumMod val="75000"/>
                          </a:srgbClr>
                        </a:solidFill>
                      </a:defRPr>
                    </a:pPr>
                    <a:fld id="{C51CD1B6-8414-448D-939D-EE712F2AB81C}" type="PERCENTAGE">
                      <a:rPr lang="en-US">
                        <a:solidFill>
                          <a:srgbClr val="44546A">
                            <a:lumMod val="75000"/>
                          </a:srgbClr>
                        </a:solidFill>
                      </a:rPr>
                      <a:pPr>
                        <a:defRPr>
                          <a:solidFill>
                            <a:srgbClr val="44546A">
                              <a:lumMod val="75000"/>
                            </a:srgbClr>
                          </a:solidFill>
                        </a:defRPr>
                      </a:pPr>
                      <a:t>[PORCENTAGEM]</a:t>
                    </a:fld>
                    <a:endParaRPr lang="pt-BR"/>
                  </a:p>
                </c:rich>
              </c:tx>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rgbClr val="44546A">
                          <a:lumMod val="75000"/>
                        </a:srgbClr>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8EDD-4DF9-9662-ABD2EEA9E261}"/>
                </c:ext>
              </c:extLst>
            </c:dLbl>
            <c:dLbl>
              <c:idx val="1"/>
              <c:layout>
                <c:manualLayout>
                  <c:x val="6.6504233185286699E-2"/>
                  <c:y val="-4.512990391619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EDD-4DF9-9662-ABD2EEA9E261}"/>
                </c:ext>
              </c:extLst>
            </c:dLbl>
            <c:dLbl>
              <c:idx val="2"/>
              <c:layout>
                <c:manualLayout>
                  <c:x val="-3.4592509242886996E-2"/>
                  <c:y val="4.0661313260952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DD-4DF9-9662-ABD2EEA9E261}"/>
                </c:ext>
              </c:extLst>
            </c:dLbl>
            <c:dLbl>
              <c:idx val="3"/>
              <c:layout>
                <c:manualLayout>
                  <c:x val="-2.2065003423485132E-2"/>
                  <c:y val="-6.559944150992927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EDD-4DF9-9662-ABD2EEA9E261}"/>
                </c:ext>
              </c:extLst>
            </c:dLbl>
            <c:dLbl>
              <c:idx val="4"/>
              <c:layout>
                <c:manualLayout>
                  <c:x val="8.5596970215679566E-2"/>
                  <c:y val="-4.902100316079152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EDD-4DF9-9662-ABD2EEA9E2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Planilha1!$A$2:$A$6</c:f>
              <c:strCache>
                <c:ptCount val="5"/>
                <c:pt idx="0">
                  <c:v>Muito Fraco</c:v>
                </c:pt>
                <c:pt idx="1">
                  <c:v>Fraco</c:v>
                </c:pt>
                <c:pt idx="2">
                  <c:v>Razoável</c:v>
                </c:pt>
                <c:pt idx="3">
                  <c:v>Bom </c:v>
                </c:pt>
                <c:pt idx="4">
                  <c:v>Muito Bom </c:v>
                </c:pt>
              </c:strCache>
            </c:strRef>
          </c:cat>
          <c:val>
            <c:numRef>
              <c:f>Planilha1!$B$2:$B$6</c:f>
              <c:numCache>
                <c:formatCode>General</c:formatCode>
                <c:ptCount val="5"/>
                <c:pt idx="0">
                  <c:v>69</c:v>
                </c:pt>
                <c:pt idx="1">
                  <c:v>95</c:v>
                </c:pt>
                <c:pt idx="2">
                  <c:v>58</c:v>
                </c:pt>
                <c:pt idx="3">
                  <c:v>49</c:v>
                </c:pt>
                <c:pt idx="4">
                  <c:v>50</c:v>
                </c:pt>
              </c:numCache>
            </c:numRef>
          </c:val>
          <c:extLst>
            <c:ext xmlns:c16="http://schemas.microsoft.com/office/drawing/2014/chart" uri="{C3380CC4-5D6E-409C-BE32-E72D297353CC}">
              <c16:uniqueId val="{0000000A-8EDD-4DF9-9662-ABD2EEA9E261}"/>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5352152892382"/>
          <c:y val="0.25159611627493933"/>
          <c:w val="0.7645775762356688"/>
          <c:h val="0.63569060446391568"/>
        </c:manualLayout>
      </c:layout>
      <c:pie3DChart>
        <c:varyColors val="1"/>
        <c:ser>
          <c:idx val="0"/>
          <c:order val="0"/>
          <c:tx>
            <c:strRef>
              <c:f>Planilha1!$B$1</c:f>
              <c:strCache>
                <c:ptCount val="1"/>
                <c:pt idx="0">
                  <c:v>Flexibilidade Sexo Feminino</c:v>
                </c:pt>
              </c:strCache>
            </c:strRef>
          </c:tx>
          <c:explosion val="16"/>
          <c:dPt>
            <c:idx val="0"/>
            <c:bubble3D val="0"/>
            <c:explosion val="7"/>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EBD5-4DB7-9A60-DC7AE9A9A652}"/>
              </c:ext>
            </c:extLst>
          </c:dPt>
          <c:dPt>
            <c:idx val="1"/>
            <c:bubble3D val="0"/>
            <c:explosion val="9"/>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EBD5-4DB7-9A60-DC7AE9A9A652}"/>
              </c:ext>
            </c:extLst>
          </c:dPt>
          <c:dPt>
            <c:idx val="2"/>
            <c:bubble3D val="0"/>
            <c:explosion val="1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EBD5-4DB7-9A60-DC7AE9A9A652}"/>
              </c:ext>
            </c:extLst>
          </c:dPt>
          <c:dPt>
            <c:idx val="3"/>
            <c:bubble3D val="0"/>
            <c:explosion val="11"/>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EBD5-4DB7-9A60-DC7AE9A9A652}"/>
              </c:ext>
            </c:extLst>
          </c:dPt>
          <c:dPt>
            <c:idx val="4"/>
            <c:bubble3D val="0"/>
            <c:explosion val="13"/>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EBD5-4DB7-9A60-DC7AE9A9A652}"/>
              </c:ext>
            </c:extLst>
          </c:dPt>
          <c:dLbls>
            <c:dLbl>
              <c:idx val="0"/>
              <c:layout>
                <c:manualLayout>
                  <c:x val="1.259688680236896E-3"/>
                  <c:y val="-5.346710693421386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BD5-4DB7-9A60-DC7AE9A9A652}"/>
                </c:ext>
              </c:extLst>
            </c:dLbl>
            <c:dLbl>
              <c:idx val="1"/>
              <c:layout>
                <c:manualLayout>
                  <c:x val="3.7892450841886381E-2"/>
                  <c:y val="1.99034798069595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BD5-4DB7-9A60-DC7AE9A9A652}"/>
                </c:ext>
              </c:extLst>
            </c:dLbl>
            <c:dLbl>
              <c:idx val="2"/>
              <c:layout>
                <c:manualLayout>
                  <c:x val="-9.0358625393252109E-2"/>
                  <c:y val="-7.903098806197622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BD5-4DB7-9A60-DC7AE9A9A652}"/>
                </c:ext>
              </c:extLst>
            </c:dLbl>
            <c:dLbl>
              <c:idx val="3"/>
              <c:layout>
                <c:manualLayout>
                  <c:x val="-3.5821551311610911E-2"/>
                  <c:y val="-7.05511811023622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BD5-4DB7-9A60-DC7AE9A9A652}"/>
                </c:ext>
              </c:extLst>
            </c:dLbl>
            <c:dLbl>
              <c:idx val="4"/>
              <c:layout>
                <c:manualLayout>
                  <c:x val="4.5150737373297951E-2"/>
                  <c:y val="-4.839810346287357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BD5-4DB7-9A60-DC7AE9A9A6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Planilha1!$A$2:$A$6</c:f>
              <c:strCache>
                <c:ptCount val="5"/>
                <c:pt idx="0">
                  <c:v>Muito Fraco</c:v>
                </c:pt>
                <c:pt idx="1">
                  <c:v>Fraco</c:v>
                </c:pt>
                <c:pt idx="2">
                  <c:v>Razoável</c:v>
                </c:pt>
                <c:pt idx="3">
                  <c:v>Bom</c:v>
                </c:pt>
                <c:pt idx="4">
                  <c:v>Muito Bom</c:v>
                </c:pt>
              </c:strCache>
            </c:strRef>
          </c:cat>
          <c:val>
            <c:numRef>
              <c:f>Planilha1!$B$2:$B$6</c:f>
              <c:numCache>
                <c:formatCode>General</c:formatCode>
                <c:ptCount val="5"/>
                <c:pt idx="0">
                  <c:v>36</c:v>
                </c:pt>
                <c:pt idx="1">
                  <c:v>38</c:v>
                </c:pt>
                <c:pt idx="2">
                  <c:v>53</c:v>
                </c:pt>
                <c:pt idx="3">
                  <c:v>25</c:v>
                </c:pt>
                <c:pt idx="4">
                  <c:v>21</c:v>
                </c:pt>
              </c:numCache>
            </c:numRef>
          </c:val>
          <c:extLst>
            <c:ext xmlns:c16="http://schemas.microsoft.com/office/drawing/2014/chart" uri="{C3380CC4-5D6E-409C-BE32-E72D297353CC}">
              <c16:uniqueId val="{0000000A-EBD5-4DB7-9A60-DC7AE9A9A65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687240962912173E-2"/>
          <c:y val="0.15327680683667072"/>
          <c:w val="0.90618320194157709"/>
          <c:h val="0.70824372048071527"/>
        </c:manualLayout>
      </c:layout>
      <c:pie3DChart>
        <c:varyColors val="1"/>
        <c:ser>
          <c:idx val="0"/>
          <c:order val="0"/>
          <c:tx>
            <c:strRef>
              <c:f>Planilha1!$B$1</c:f>
              <c:strCache>
                <c:ptCount val="1"/>
                <c:pt idx="0">
                  <c:v>Abdominal Modificado </c:v>
                </c:pt>
              </c:strCache>
            </c:strRef>
          </c:tx>
          <c:explosion val="9"/>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2D05-4C22-BDBB-D68703F967E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2D05-4C22-BDBB-D68703F967E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2D05-4C22-BDBB-D68703F967E9}"/>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2D05-4C22-BDBB-D68703F967E9}"/>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2D05-4C22-BDBB-D68703F967E9}"/>
              </c:ext>
            </c:extLst>
          </c:dPt>
          <c:dLbls>
            <c:dLbl>
              <c:idx val="0"/>
              <c:layout>
                <c:manualLayout>
                  <c:x val="1.6299964892923298E-2"/>
                  <c:y val="-8.33878666721064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05-4C22-BDBB-D68703F967E9}"/>
                </c:ext>
              </c:extLst>
            </c:dLbl>
            <c:dLbl>
              <c:idx val="1"/>
              <c:layout>
                <c:manualLayout>
                  <c:x val="0.15135262550779879"/>
                  <c:y val="2.70645832483374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D05-4C22-BDBB-D68703F967E9}"/>
                </c:ext>
              </c:extLst>
            </c:dLbl>
            <c:dLbl>
              <c:idx val="2"/>
              <c:layout>
                <c:manualLayout>
                  <c:x val="-3.5980561023622071E-2"/>
                  <c:y val="-0.1045697617890131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D05-4C22-BDBB-D68703F967E9}"/>
                </c:ext>
              </c:extLst>
            </c:dLbl>
            <c:dLbl>
              <c:idx val="3"/>
              <c:layout>
                <c:manualLayout>
                  <c:x val="-3.7451727769697608E-2"/>
                  <c:y val="-6.21463832564970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D05-4C22-BDBB-D68703F967E9}"/>
                </c:ext>
              </c:extLst>
            </c:dLbl>
            <c:dLbl>
              <c:idx val="4"/>
              <c:layout>
                <c:manualLayout>
                  <c:x val="6.2947740608856953E-2"/>
                  <c:y val="-4.69132226347354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D05-4C22-BDBB-D68703F967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Planilha1!$A$2:$A$6</c:f>
              <c:strCache>
                <c:ptCount val="5"/>
                <c:pt idx="0">
                  <c:v>Muito Fraco</c:v>
                </c:pt>
                <c:pt idx="1">
                  <c:v>Fraco</c:v>
                </c:pt>
                <c:pt idx="2">
                  <c:v>Razoável</c:v>
                </c:pt>
                <c:pt idx="3">
                  <c:v>Bom</c:v>
                </c:pt>
                <c:pt idx="4">
                  <c:v>Muito Bom </c:v>
                </c:pt>
              </c:strCache>
            </c:strRef>
          </c:cat>
          <c:val>
            <c:numRef>
              <c:f>Planilha1!$B$2:$B$6</c:f>
              <c:numCache>
                <c:formatCode>General</c:formatCode>
                <c:ptCount val="5"/>
                <c:pt idx="0">
                  <c:v>115</c:v>
                </c:pt>
                <c:pt idx="1">
                  <c:v>94</c:v>
                </c:pt>
                <c:pt idx="2">
                  <c:v>60</c:v>
                </c:pt>
                <c:pt idx="3">
                  <c:v>38</c:v>
                </c:pt>
                <c:pt idx="4">
                  <c:v>13</c:v>
                </c:pt>
              </c:numCache>
            </c:numRef>
          </c:val>
          <c:extLst>
            <c:ext xmlns:c16="http://schemas.microsoft.com/office/drawing/2014/chart" uri="{C3380CC4-5D6E-409C-BE32-E72D297353CC}">
              <c16:uniqueId val="{0000000A-2D05-4C22-BDBB-D68703F967E9}"/>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802667129844065"/>
          <c:y val="0.31747630504520269"/>
          <c:w val="0.62981820287169998"/>
          <c:h val="0.52905147273257513"/>
        </c:manualLayout>
      </c:layout>
      <c:pie3DChart>
        <c:varyColors val="1"/>
        <c:ser>
          <c:idx val="0"/>
          <c:order val="0"/>
          <c:tx>
            <c:strRef>
              <c:f>Planilha1!$B$1</c:f>
              <c:strCache>
                <c:ptCount val="1"/>
                <c:pt idx="0">
                  <c:v>Abdominal Modificado </c:v>
                </c:pt>
              </c:strCache>
            </c:strRef>
          </c:tx>
          <c:explosion val="12"/>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0529-47C2-B318-2A43B0F74D0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0529-47C2-B318-2A43B0F74D00}"/>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0529-47C2-B318-2A43B0F74D00}"/>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0529-47C2-B318-2A43B0F74D00}"/>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0529-47C2-B318-2A43B0F74D00}"/>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0529-47C2-B318-2A43B0F74D00}"/>
              </c:ext>
            </c:extLst>
          </c:dPt>
          <c:dLbls>
            <c:dLbl>
              <c:idx val="0"/>
              <c:layout>
                <c:manualLayout>
                  <c:x val="1.6484869538366618E-2"/>
                  <c:y val="-0.1007961504811898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29-47C2-B318-2A43B0F74D00}"/>
                </c:ext>
              </c:extLst>
            </c:dLbl>
            <c:dLbl>
              <c:idx val="1"/>
              <c:layout>
                <c:manualLayout>
                  <c:x val="0.14593051224722267"/>
                  <c:y val="2.1732369144825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529-47C2-B318-2A43B0F74D00}"/>
                </c:ext>
              </c:extLst>
            </c:dLbl>
            <c:dLbl>
              <c:idx val="2"/>
              <c:layout>
                <c:manualLayout>
                  <c:x val="-6.8528364153910962E-2"/>
                  <c:y val="-6.263655291184357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529-47C2-B318-2A43B0F74D00}"/>
                </c:ext>
              </c:extLst>
            </c:dLbl>
            <c:dLbl>
              <c:idx val="3"/>
              <c:layout>
                <c:manualLayout>
                  <c:x val="-3.1225490196078433E-2"/>
                  <c:y val="-2.62678623505395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529-47C2-B318-2A43B0F74D00}"/>
                </c:ext>
              </c:extLst>
            </c:dLbl>
            <c:dLbl>
              <c:idx val="4"/>
              <c:layout>
                <c:manualLayout>
                  <c:x val="-1.2664234985332716E-2"/>
                  <c:y val="-6.85214348206474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529-47C2-B318-2A43B0F74D00}"/>
                </c:ext>
              </c:extLst>
            </c:dLbl>
            <c:dLbl>
              <c:idx val="5"/>
              <c:layout>
                <c:manualLayout>
                  <c:x val="2.3861934537594564E-2"/>
                  <c:y val="-7.27832458442695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529-47C2-B318-2A43B0F74D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Planilha1!$A$2:$A$7</c:f>
              <c:strCache>
                <c:ptCount val="6"/>
                <c:pt idx="0">
                  <c:v>Muito Fraco</c:v>
                </c:pt>
                <c:pt idx="1">
                  <c:v>Fraco</c:v>
                </c:pt>
                <c:pt idx="2">
                  <c:v>Razoável</c:v>
                </c:pt>
                <c:pt idx="3">
                  <c:v>Bom</c:v>
                </c:pt>
                <c:pt idx="4">
                  <c:v>Muito Bom</c:v>
                </c:pt>
                <c:pt idx="5">
                  <c:v>Excelente</c:v>
                </c:pt>
              </c:strCache>
            </c:strRef>
          </c:cat>
          <c:val>
            <c:numRef>
              <c:f>Planilha1!$B$2:$B$7</c:f>
              <c:numCache>
                <c:formatCode>General</c:formatCode>
                <c:ptCount val="6"/>
                <c:pt idx="0">
                  <c:v>67</c:v>
                </c:pt>
                <c:pt idx="1">
                  <c:v>40</c:v>
                </c:pt>
                <c:pt idx="2">
                  <c:v>27</c:v>
                </c:pt>
                <c:pt idx="3">
                  <c:v>25</c:v>
                </c:pt>
                <c:pt idx="4">
                  <c:v>13</c:v>
                </c:pt>
                <c:pt idx="5">
                  <c:v>1</c:v>
                </c:pt>
              </c:numCache>
            </c:numRef>
          </c:val>
          <c:extLst>
            <c:ext xmlns:c16="http://schemas.microsoft.com/office/drawing/2014/chart" uri="{C3380CC4-5D6E-409C-BE32-E72D297353CC}">
              <c16:uniqueId val="{0000000C-0529-47C2-B318-2A43B0F74D00}"/>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022886803953976E-2"/>
          <c:y val="0.218492513565338"/>
          <c:w val="0.81578397672357994"/>
          <c:h val="0.56750438578597362"/>
        </c:manualLayout>
      </c:layout>
      <c:pie3DChart>
        <c:varyColors val="1"/>
        <c:ser>
          <c:idx val="0"/>
          <c:order val="0"/>
          <c:tx>
            <c:strRef>
              <c:f>Planilha1!$B$1</c:f>
              <c:strCache>
                <c:ptCount val="1"/>
                <c:pt idx="0">
                  <c:v>Salto Horizontal</c:v>
                </c:pt>
              </c:strCache>
            </c:strRef>
          </c:tx>
          <c:explosion val="1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F878-46D5-A9DD-9BF2D9BACEBE}"/>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F878-46D5-A9DD-9BF2D9BACEBE}"/>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F878-46D5-A9DD-9BF2D9BACEBE}"/>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F878-46D5-A9DD-9BF2D9BACEBE}"/>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F878-46D5-A9DD-9BF2D9BACEBE}"/>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F878-46D5-A9DD-9BF2D9BACEBE}"/>
              </c:ext>
            </c:extLst>
          </c:dPt>
          <c:dLbls>
            <c:dLbl>
              <c:idx val="0"/>
              <c:layout>
                <c:manualLayout>
                  <c:x val="3.3615964950163175E-2"/>
                  <c:y val="-1.52137480176455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78-46D5-A9DD-9BF2D9BACEBE}"/>
                </c:ext>
              </c:extLst>
            </c:dLbl>
            <c:dLbl>
              <c:idx val="1"/>
              <c:layout>
                <c:manualLayout>
                  <c:x val="3.2462813656672689E-2"/>
                  <c:y val="5.33886826322875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78-46D5-A9DD-9BF2D9BACEBE}"/>
                </c:ext>
              </c:extLst>
            </c:dLbl>
            <c:dLbl>
              <c:idx val="2"/>
              <c:layout>
                <c:manualLayout>
                  <c:x val="-2.3931980569467923E-2"/>
                  <c:y val="5.777161274529803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78-46D5-A9DD-9BF2D9BACEBE}"/>
                </c:ext>
              </c:extLst>
            </c:dLbl>
            <c:dLbl>
              <c:idx val="3"/>
              <c:layout>
                <c:manualLayout>
                  <c:x val="-2.5424977624081267E-2"/>
                  <c:y val="-3.70857831425425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878-46D5-A9DD-9BF2D9BACEBE}"/>
                </c:ext>
              </c:extLst>
            </c:dLbl>
            <c:dLbl>
              <c:idx val="4"/>
              <c:layout>
                <c:manualLayout>
                  <c:x val="-1.1997942898963082E-2"/>
                  <c:y val="-5.29189952839008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878-46D5-A9DD-9BF2D9BACEBE}"/>
                </c:ext>
              </c:extLst>
            </c:dLbl>
            <c:dLbl>
              <c:idx val="5"/>
              <c:layout>
                <c:manualLayout>
                  <c:x val="3.7093092063512918E-2"/>
                  <c:y val="-3.48932471831522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878-46D5-A9DD-9BF2D9BACE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Planilha1!$A$2:$A$7</c:f>
              <c:strCache>
                <c:ptCount val="6"/>
                <c:pt idx="0">
                  <c:v>Muito Fraco</c:v>
                </c:pt>
                <c:pt idx="1">
                  <c:v>Fraco</c:v>
                </c:pt>
                <c:pt idx="2">
                  <c:v>Razoável</c:v>
                </c:pt>
                <c:pt idx="3">
                  <c:v>Bom</c:v>
                </c:pt>
                <c:pt idx="4">
                  <c:v>Muito Bom</c:v>
                </c:pt>
                <c:pt idx="5">
                  <c:v>Excelente </c:v>
                </c:pt>
              </c:strCache>
            </c:strRef>
          </c:cat>
          <c:val>
            <c:numRef>
              <c:f>Planilha1!$B$2:$B$7</c:f>
              <c:numCache>
                <c:formatCode>General</c:formatCode>
                <c:ptCount val="6"/>
                <c:pt idx="0">
                  <c:v>82</c:v>
                </c:pt>
                <c:pt idx="1">
                  <c:v>85</c:v>
                </c:pt>
                <c:pt idx="2">
                  <c:v>62</c:v>
                </c:pt>
                <c:pt idx="3">
                  <c:v>56</c:v>
                </c:pt>
                <c:pt idx="4">
                  <c:v>34</c:v>
                </c:pt>
                <c:pt idx="5">
                  <c:v>2</c:v>
                </c:pt>
              </c:numCache>
            </c:numRef>
          </c:val>
          <c:extLst>
            <c:ext xmlns:c16="http://schemas.microsoft.com/office/drawing/2014/chart" uri="{C3380CC4-5D6E-409C-BE32-E72D297353CC}">
              <c16:uniqueId val="{0000000C-F878-46D5-A9DD-9BF2D9BACEBE}"/>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58864888855564"/>
          <c:y val="0.1757113028603054"/>
          <c:w val="0.66195318300444228"/>
          <c:h val="0.56057307352709929"/>
        </c:manualLayout>
      </c:layout>
      <c:pie3DChart>
        <c:varyColors val="1"/>
        <c:ser>
          <c:idx val="0"/>
          <c:order val="0"/>
          <c:tx>
            <c:strRef>
              <c:f>Planilha1!$B$1</c:f>
              <c:strCache>
                <c:ptCount val="1"/>
                <c:pt idx="0">
                  <c:v>Salto Horizontal </c:v>
                </c:pt>
              </c:strCache>
            </c:strRef>
          </c:tx>
          <c:explosion val="4"/>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5DAD-4E0B-8793-EAE0AA3762E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5DAD-4E0B-8793-EAE0AA3762E0}"/>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5DAD-4E0B-8793-EAE0AA3762E0}"/>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5DAD-4E0B-8793-EAE0AA3762E0}"/>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5DAD-4E0B-8793-EAE0AA3762E0}"/>
              </c:ext>
            </c:extLst>
          </c:dPt>
          <c:dLbls>
            <c:dLbl>
              <c:idx val="0"/>
              <c:layout>
                <c:manualLayout>
                  <c:x val="-2.47863989453109E-2"/>
                  <c:y val="-1.41783444582117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AD-4E0B-8793-EAE0AA3762E0}"/>
                </c:ext>
              </c:extLst>
            </c:dLbl>
            <c:dLbl>
              <c:idx val="1"/>
              <c:layout>
                <c:manualLayout>
                  <c:x val="1.9131665015702126E-2"/>
                  <c:y val="-7.46754066909149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AD-4E0B-8793-EAE0AA3762E0}"/>
                </c:ext>
              </c:extLst>
            </c:dLbl>
            <c:dLbl>
              <c:idx val="2"/>
              <c:layout>
                <c:manualLayout>
                  <c:x val="6.6588944593846303E-2"/>
                  <c:y val="4.641355314456641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AD-4E0B-8793-EAE0AA3762E0}"/>
                </c:ext>
              </c:extLst>
            </c:dLbl>
            <c:dLbl>
              <c:idx val="3"/>
              <c:layout>
                <c:manualLayout>
                  <c:x val="-2.7709690558652619E-2"/>
                  <c:y val="-7.23891442503697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AD-4E0B-8793-EAE0AA3762E0}"/>
                </c:ext>
              </c:extLst>
            </c:dLbl>
            <c:dLbl>
              <c:idx val="4"/>
              <c:layout>
                <c:manualLayout>
                  <c:x val="1.3239288615093939E-2"/>
                  <c:y val="-1.01721091970102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DAD-4E0B-8793-EAE0AA3762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Planilha1!$A$2:$A$6</c:f>
              <c:strCache>
                <c:ptCount val="5"/>
                <c:pt idx="0">
                  <c:v>Muito Fraco</c:v>
                </c:pt>
                <c:pt idx="1">
                  <c:v>Fraco</c:v>
                </c:pt>
                <c:pt idx="2">
                  <c:v>Razoável</c:v>
                </c:pt>
                <c:pt idx="3">
                  <c:v>Bom</c:v>
                </c:pt>
                <c:pt idx="4">
                  <c:v>Muito Bom</c:v>
                </c:pt>
              </c:strCache>
            </c:strRef>
          </c:cat>
          <c:val>
            <c:numRef>
              <c:f>Planilha1!$B$2:$B$6</c:f>
              <c:numCache>
                <c:formatCode>General</c:formatCode>
                <c:ptCount val="5"/>
                <c:pt idx="0">
                  <c:v>23</c:v>
                </c:pt>
                <c:pt idx="1">
                  <c:v>38</c:v>
                </c:pt>
                <c:pt idx="2">
                  <c:v>33</c:v>
                </c:pt>
                <c:pt idx="3">
                  <c:v>43</c:v>
                </c:pt>
                <c:pt idx="4">
                  <c:v>36</c:v>
                </c:pt>
              </c:numCache>
            </c:numRef>
          </c:val>
          <c:extLst>
            <c:ext xmlns:c16="http://schemas.microsoft.com/office/drawing/2014/chart" uri="{C3380CC4-5D6E-409C-BE32-E72D297353CC}">
              <c16:uniqueId val="{0000000A-5DAD-4E0B-8793-EAE0AA3762E0}"/>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18665</Words>
  <Characters>100794</Characters>
  <Application>Microsoft Office Word</Application>
  <DocSecurity>4</DocSecurity>
  <Lines>839</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Andreina Medeiros</dc:creator>
  <cp:keywords/>
  <dc:description/>
  <cp:lastModifiedBy>Thomaz-Note</cp:lastModifiedBy>
  <cp:revision>2</cp:revision>
  <dcterms:created xsi:type="dcterms:W3CDTF">2019-10-08T12:52:00Z</dcterms:created>
  <dcterms:modified xsi:type="dcterms:W3CDTF">2019-10-08T12:52:00Z</dcterms:modified>
</cp:coreProperties>
</file>